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 an</w:t>
      </w:r>
      <w:r>
        <w:t xml:space="preserve"> </w:t>
      </w:r>
      <w:r>
        <w:rPr>
          <w:iCs/>
          <w:i/>
        </w:rPr>
        <w:t xml:space="preserve">Export Cliff Effect</w:t>
      </w:r>
      <w:r>
        <w:t xml:space="preserve"> </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 a</w:t>
      </w:r>
      <w:r>
        <w:t xml:space="preserve"> </w:t>
      </w:r>
      <w:r>
        <w:rPr>
          <w:iCs/>
          <w:i/>
        </w:rPr>
        <w:t xml:space="preserve">digital saturation</w:t>
      </w:r>
      <w:r>
        <w:t xml:space="preserve"> </w:t>
      </w:r>
      <w:r>
        <w:t xml:space="preserve">in which near-universal Tier-1 presence loses discriminating power —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753100" cy="2401293"/>
            <wp:effectExtent b="0" l="0" r="0" t="0"/>
            <wp:docPr descr="Figure 3: Moderator marginal effects —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 a structure that pooling exporters and non-exporters in cross-country meta-analyses tends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 critically —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 coordination capacity, contract enforcement, and trade-finance access —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2026-05-26T15:21:10Z</dcterms:created>
  <dcterms:modified xsi:type="dcterms:W3CDTF">2026-05-26T15:21:10Z</dcterms:modified>
</cp:coreProperties>
</file>

<file path=docProps/custom.xml><?xml version="1.0" encoding="utf-8"?>
<Properties xmlns="http://schemas.openxmlformats.org/officeDocument/2006/custom-properties" xmlns:vt="http://schemas.openxmlformats.org/officeDocument/2006/docPropsVTypes"/>
</file>