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bCs/>
          <w:b/>
        </w:rPr>
        <w:t xml:space="preserve">Do Thuy Huong</w:t>
      </w:r>
      <w:r>
        <w:t xml:space="preserve"> </w:t>
      </w:r>
      <w:r>
        <w:t xml:space="preserve">· School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School of Economics, Can Tho University · patu@ctu.edu.vn · ORCID:</w:t>
      </w:r>
      <w:r>
        <w:t xml:space="preserve"> </w:t>
      </w:r>
      <w:hyperlink r:id="rId21">
        <w:r>
          <w:rPr>
            <w:rStyle w:val="Hyperlink"/>
          </w:rPr>
          <w:t xml:space="preserve">0000-0003-0667-3137</w:t>
        </w:r>
      </w:hyperlink>
    </w:p>
    <w:p>
      <w:pPr>
        <w:pStyle w:val="BodyText"/>
      </w:pPr>
      <w:r>
        <w:rPr>
          <w:iCs/>
          <w:i/>
        </w:rPr>
        <w:t xml:space="preserve">Target journal: Management International Review (MIR)</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8"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Singapore offers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Within the observed export-intensity range, the I–P relationship is better characterized as predominantly positive with mild quadratic curvature than as an inverted-U, and the implied turning point lies in a sparsely populated upper tail. Technological capability is positively associated with labour productivity. No TCI moderation of the I–P curve is detected, however. Foundational digital adoption tells a more conditional story: it does not produce a uniform productivity premium, and its productivity association becomes more positive only at higher export intensity, with the clearest signal in the high-export tail. This pattern suggests that foundational digital adoption operates as a contingent scaling resource whose productivity relevance activates under cross-border coordination demands,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r>
        <w:t xml:space="preserve"> </w:t>
      </w:r>
      <w:r>
        <w:t xml:space="preserve">## 1 Introduction</w:t>
      </w:r>
      <w:r>
        <w:t xml:space="preserve"> </w:t>
      </w:r>
      <w:r>
        <w:t xml:space="preserve">### 1.1 Background and motivation</w:t>
      </w:r>
      <w:r>
        <w:t xml:space="preserve"> </w:t>
      </w: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Much of this literature, however, was developed in pre-digital or transitional-digital settings, where institutional and infrastructural conditions differ substantially from those of digitally advanced economies (Peng 2003; Peng et al. 2008). It may therefore not fully capture how the I–P curve behaves once firms operate in a digitally advanced institutional environment. The conditions that make Singapore distinctive are well documented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The Smart Nation 2.0 initiative (launched 2024) goes further, formalizing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this study terms a</w:t>
      </w:r>
      <w:r>
        <w:t xml:space="preserve"> </w:t>
      </w:r>
      <w:r>
        <w:rPr>
          <w:iCs/>
          <w:i/>
        </w:rPr>
        <w:t xml:space="preserve">digital saturation paradox</w:t>
      </w:r>
      <w:r>
        <w:t xml:space="preserve">. Where Tier 1–2 digital interfaces (websites, electronic payment systems) are already widely diffused, these tools function as hygiene factors for domestic operations rather than as differentiating assets. The near-universal Tier 1–2 diffusion is itself enabled by Singapore’s nationally deployed Digital Public Infrastructure (digital identity systems, payment rails, and data-exchange platforms), which the World Bank (2025a) identifies as the foundational enabling layer for firm-level digital adoption in advanced economies. The sample bears this out. Among Singapore firms, 82% report zero exports, while only 3% exceed 50% foreign sales to total sales, a striking domestic orientation despite the economy’s mature digital infrastructure. The productivity returns to foundational digital adoption should not, therefore, be expected to manifest uniformly across sampled firms. They should instead become measurable primarily when firms face the intensified coordination and transaction demands of cross-border activity. Singapore serves here not merely as a convenient empirical backdrop, but as an analytically ideal stress test: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r>
        <w:t xml:space="preserve"> </w:t>
      </w:r>
      <w:r>
        <w:t xml:space="preserve">### 1.2 Research gap</w:t>
      </w:r>
      <w:r>
        <w:t xml:space="preserve"> </w:t>
      </w:r>
      <w:r>
        <w:t xml:space="preserve">Three gaps motivate this study. The first concerns construct bundling. Prior research has often folded digitalization-related firm attributes into broad umbrella constructs, which makes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A second gap is empirical. While work on digital internationalization has generated important conceptual advances, firm-level evidence remains thin on how basic digital adoption relates to export intensity within a single digitally advanced institutional environment. The literature still says little about whether foundational digital tools matter uniformly across firms or become more relevant only when cross-border coordination demands intensify. Focusing on Tier 1–2 adoption, the most widely diffused and comparable digital layer, is therefore a deliberate design choice. If even these foundational tools exhibit export-contingent productivity associations, higher-tier technologies (automation, integrated ERP, AI-enabled systems) should produce even stronger differentiation, which makes this the most conservative and replicable test of the conditional digital adoption hypothesis.</w:t>
      </w:r>
      <w:r>
        <w:t xml:space="preserve"> </w:t>
      </w:r>
      <w:r>
        <w:t xml:space="preserve">The remaining gap is interpretive. The nonlinear internationalization–performance literature has documented inverted-U patterns extensively, yet how such patterns should be read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within the same empirical framework.</w:t>
      </w:r>
      <w:r>
        <w:t xml:space="preserve"> </w:t>
      </w:r>
      <w:r>
        <w:t xml:space="preserve">### 1.3 Contribution</w:t>
      </w:r>
      <w:r>
        <w:t xml:space="preserve"> </w:t>
      </w:r>
      <w:r>
        <w:t xml:space="preserve">This study makes one primary contribution and two supporting contributions. Its primary contribution is to document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with DAI acting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FSTS=82%, in a sparsely populated upper tail, and the Lind–Mehlum test does not formally confirm a right-side decline at conventional thresholds. In a digitally mature economy where Tier 1–2 coordination tools are widely diffused, this is an informative positive null, consistent with the saturation hypothesis,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Section 4.5 R1 indicator-sensitivity diagnostic further clarifies that the Tier-1+2 composition of DAI, which combines website presence with two-way electronic-payment intensity,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Section 5.1 for the construct-boundary discussion).</w:t>
      </w:r>
      <w:r>
        <w:t xml:space="preserve"> </w:t>
      </w:r>
      <w:r>
        <w:t xml:space="preserve">### 1.4 Roadmap</w:t>
      </w:r>
      <w:r>
        <w:t xml:space="preserve"> </w:t>
      </w: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r>
        <w:t xml:space="preserve"> </w:t>
      </w:r>
      <w:r>
        <w:t xml:space="preserve">## 2 Theory and Hypotheses</w:t>
      </w:r>
      <w:r>
        <w:t xml:space="preserve"> </w:t>
      </w:r>
      <w:r>
        <w:t xml:space="preserve">### 2.1 The internationalization–performance relationship</w:t>
      </w:r>
      <w:r>
        <w:t xml:space="preserve"> </w:t>
      </w: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r>
        <w:t xml:space="preserve"> </w:t>
      </w:r>
      <w:r>
        <w:t xml:space="preserve">### 2.2 Two distinct constructs: TCI and DAI</w:t>
      </w:r>
      <w:r>
        <w:t xml:space="preserve"> </w:t>
      </w: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w:t>
      </w:r>
      <w:r>
        <w:t xml:space="preserve"> </w:t>
      </w:r>
      <w:r>
        <w:t xml:space="preserve">“</w:t>
      </w:r>
      <w:r>
        <w:t xml:space="preserve">digital adoption</w:t>
      </w:r>
      <w:r>
        <w:t xml:space="preserve">”</w:t>
      </w:r>
      <w:r>
        <w:t xml:space="preserve"> </w:t>
      </w:r>
      <w:r>
        <w:t xml:space="preserve">is more defensible than</w:t>
      </w:r>
      <w:r>
        <w:t xml:space="preserve"> </w:t>
      </w:r>
      <w:r>
        <w:t xml:space="preserve">“</w:t>
      </w:r>
      <w:r>
        <w:t xml:space="preserve">digital capability</w:t>
      </w:r>
      <w:r>
        <w:t xml:space="preserve">”</w:t>
      </w:r>
      <w:r>
        <w:t xml:space="preserve"> </w:t>
      </w:r>
      <w:r>
        <w:t xml:space="preserve">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w:t>
      </w:r>
      <w:r>
        <w:t xml:space="preserve"> </w:t>
      </w:r>
      <w:r>
        <w:t xml:space="preserve">“</w:t>
      </w:r>
      <w:r>
        <w:t xml:space="preserve">digital capability</w:t>
      </w:r>
      <w:r>
        <w:t xml:space="preserve">”</w:t>
      </w:r>
      <w:r>
        <w:t xml:space="preserve"> </w:t>
      </w:r>
      <w:r>
        <w:t xml:space="preserve">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r>
        <w:t xml:space="preserve"> </w:t>
      </w:r>
      <w:r>
        <w:t xml:space="preserve">### 2.3 Hypothesis development</w:t>
      </w:r>
      <w:r>
        <w:t xml:space="preserve"> </w:t>
      </w:r>
      <w:r>
        <w:t xml:space="preserve">#### 2.3.1 TCI direct effect on productivity</w:t>
      </w:r>
      <w:r>
        <w:t xml:space="preserve"> </w:t>
      </w: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r>
        <w:t xml:space="preserve"> </w:t>
      </w:r>
      <w:r>
        <w:t xml:space="preserve">#### 2.3.2 TCI moderation of the I–P relationship</w:t>
      </w:r>
      <w:r>
        <w:t xml:space="preserve"> </w:t>
      </w: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r>
        <w:t xml:space="preserve"> </w:t>
      </w:r>
      <w:r>
        <w:t xml:space="preserve">#### 2.3.3 DAI direct effect on productivity</w:t>
      </w:r>
      <w:r>
        <w:t xml:space="preserve"> </w:t>
      </w: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r>
        <w:t xml:space="preserve"> </w:t>
      </w:r>
      <w:r>
        <w:t xml:space="preserve">#### 2.3.4 DAI as a conditional complement to export intensity</w:t>
      </w:r>
      <w:r>
        <w:t xml:space="preserve"> </w:t>
      </w: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this study names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it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it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Section 4. The substitution and selection mechanisms are retained as alternative explanations to be assessed against the robustness evidence in Section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Verhoef et al., 2021), with the amplification effect becoming detectable only beyond the export-intensity threshold at which transaction volume justifies intensive use of digital interfaces and electronic-payment systems.</w:t>
      </w:r>
    </w:p>
    <w:bookmarkStart w:id="25" w:name="conceptual-model"/>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CaptionedFigure"/>
      </w:pPr>
      <w:r>
        <w:drawing>
          <wp:inline>
            <wp:extent cx="5753100" cy="3978568"/>
            <wp:effectExtent b="0" l="0" r="0" t="0"/>
            <wp:docPr descr="Figure 1: Conceptual model — TCI and DAI moderating the I–P relationship (Singapore)" title="" id="23" name="Picture"/>
            <a:graphic>
              <a:graphicData uri="http://schemas.openxmlformats.org/drawingml/2006/picture">
                <pic:pic>
                  <pic:nvPicPr>
                    <pic:cNvPr descr="figures/p4_singapore/figure_1_conceptual_model.png" id="24" name="Picture"/>
                    <pic:cNvPicPr>
                      <a:picLocks noChangeArrowheads="1" noChangeAspect="1"/>
                    </pic:cNvPicPr>
                  </pic:nvPicPr>
                  <pic:blipFill>
                    <a:blip r:embed="rId22"/>
                    <a:stretch>
                      <a:fillRect/>
                    </a:stretch>
                  </pic:blipFill>
                  <pic:spPr bwMode="auto">
                    <a:xfrm>
                      <a:off x="0" y="0"/>
                      <a:ext cx="5753100" cy="3978568"/>
                    </a:xfrm>
                    <a:prstGeom prst="rect">
                      <a:avLst/>
                    </a:prstGeom>
                    <a:noFill/>
                    <a:ln w="9525">
                      <a:noFill/>
                      <a:headEnd/>
                      <a:tailEnd/>
                    </a:ln>
                  </pic:spPr>
                </pic:pic>
              </a:graphicData>
            </a:graphic>
          </wp:inline>
        </w:drawing>
      </w:r>
    </w:p>
    <w:p>
      <w:pPr>
        <w:pStyle w:val="ImageCaption"/>
      </w:pPr>
      <w:r>
        <w:t xml:space="preserve">Figure 1: Conceptual model — TCI and DAI moderating the I–P relationship (Singapore)</w:t>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internationalisation intensity (FSTS, FSTS²_c), is placed at left, and the dependent variable, ln(labour productivity), is placed at right. H1 (inverted-U tendency with support-constrained turning point ~82% FSTS, bootstrap CI [53%, 253%]) is grounded in coordination-cost theory (Hitt et al., 1997); the right-side decline is not formally identified within the observed FSTS range, a theoretically informative result under the saturation framework (Lind–Mehlum p = .303). H1-TCI: technological capability (TCI_z, RBV: Barney, 1991) enters as a direct level-shift to firm performance. H2: DAI (Tier-1+2: website + e-payment) exhibits a non-uniform positive direct effect that varies across export intensity. H3: DAI amplifies the internationalisation-to-performance returns at high FSTS,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the H3 amplification test is conducted on the exporters-only subsample (n ≈ 84; power ≈ 16%), and provides a corroborating signal rather than independent identification. ICRV context: Singapore, Advanced I. Data: WBES 2023; N = 623.</w:t>
      </w:r>
      <w:r>
        <w:t xml:space="preserve"> </w:t>
      </w:r>
      <w:r>
        <w:t xml:space="preserve">## 3 Methods</w:t>
      </w:r>
      <w:r>
        <w:t xml:space="preserve"> </w:t>
      </w:r>
      <w:r>
        <w:t xml:space="preserve">### 3.1 Data</w:t>
      </w:r>
      <w:r>
        <w:t xml:space="preserve"> </w:t>
      </w: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 a measurement implication that is borne out in the Section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Section 5.1 for the construct-boundary discussion). The Lind–Mehlum equivalence test result (p = .303) reported in Section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r>
        <w:t xml:space="preserve"> </w:t>
      </w:r>
      <w:r>
        <w:t xml:space="preserve">### 3.2 Variables</w:t>
      </w:r>
      <w:r>
        <w:t xml:space="preserve"> </w:t>
      </w:r>
      <w:r>
        <w:t xml:space="preserve">#### 3.2.1 Dependent variable</w:t>
      </w:r>
      <w:r>
        <w:t xml:space="preserve"> </w:t>
      </w: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sampled observations belong to the same 2023 cross-section, sales are expressed in nominal 2023 Singapore dollars, with any common price-level effect absorbed by the intercept. To reduce sensitivity to outliers, the dependent variable is winsorized at the 1st and 99th percentiles.</w:t>
      </w:r>
      <w:r>
        <w:t xml:space="preserve"> </w:t>
      </w:r>
      <w:r>
        <w:t xml:space="preserve">#### 3.2.2 Focal independent variable</w:t>
      </w:r>
      <w:r>
        <w:t xml:space="preserve"> </w:t>
      </w: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r>
        <w:t xml:space="preserve"> </w:t>
      </w:r>
      <w:r>
        <w:t xml:space="preserve">#### 3.2.3 TCI and DAI composites</w:t>
      </w:r>
      <w:r>
        <w:t xml:space="preserve"> </w:t>
      </w: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 from β = +3.119 (p = .005) in the Tier-1+2 specification to a smaller and statistically weaker estimate — while the Tier-1+2 full model’s adjusted R² advantage is also reduced. This pattern is directionally consistent with the theoretical construct-boundary argument developed in Section 1.2 and Section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Section 1.3 supporting contribution on construct-tier specificity.</w:t>
      </w:r>
      <w:r>
        <w:t xml:space="preserve"> </w:t>
      </w:r>
      <w:r>
        <w:t xml:space="preserve">#### 3.2.4 Controls</w:t>
      </w:r>
      <w:r>
        <w:t xml:space="preserve"> </w:t>
      </w: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r>
        <w:t xml:space="preserve"> </w:t>
      </w:r>
      <w:r>
        <w:t xml:space="preserve">### 3.2.5 Variable definitions</w:t>
      </w:r>
    </w:p>
    <w:p>
      <w:pPr>
        <w:pStyle w:val="BodyText"/>
      </w:pPr>
      <w:r>
        <w:rPr>
          <w:bCs/>
          <w:b/>
        </w:rPr>
        <w:t xml:space="preserve">Table 0. Variable definitions and WBES item sources (Singapore 2023).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Theoretical role</w:t>
            </w:r>
          </w:p>
        </w:tc>
      </w:tr>
      <w:tr>
        <w:tc>
          <w:tcPr/>
          <w:p>
            <w:pPr>
              <w:pStyle w:val="Compact"/>
              <w:jc w:val="left"/>
            </w:pPr>
            <w:r>
              <w:t xml:space="preserve">ln(LP)</w:t>
            </w:r>
          </w:p>
        </w:tc>
        <w:tc>
          <w:tcPr/>
          <w:p>
            <w:pPr>
              <w:pStyle w:val="Compact"/>
              <w:jc w:val="left"/>
            </w:pPr>
            <w:r>
              <w:t xml:space="preserve">n3/d2, l1</w:t>
            </w:r>
          </w:p>
        </w:tc>
        <w:tc>
          <w:tcPr/>
          <w:p>
            <w:pPr>
              <w:pStyle w:val="Compact"/>
              <w:jc w:val="left"/>
            </w:pPr>
            <w:r>
              <w:t xml:space="preserve">ln(annual sales / permanent employees); winsorized 1%–99%</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sales from direct exports ∈ [0,1]</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wave-mean-centred</w:t>
            </w:r>
          </w:p>
        </w:tc>
        <w:tc>
          <w:tcPr/>
          <w:p>
            <w:pPr>
              <w:pStyle w:val="Compact"/>
              <w:jc w:val="left"/>
            </w:pPr>
            <w:r>
              <w:t xml:space="preserve">I — centred for quadratic</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w:t>
            </w:r>
          </w:p>
        </w:tc>
        <w:tc>
          <w:tcPr/>
          <w:p>
            <w:pPr>
              <w:pStyle w:val="Compact"/>
              <w:jc w:val="left"/>
            </w:pPr>
            <w:r>
              <w:t xml:space="preserve">I — nonlinear (H1 test)</w:t>
            </w:r>
          </w:p>
        </w:tc>
      </w:tr>
      <w:tr>
        <w:tc>
          <w:tcPr/>
          <w:p>
            <w:pPr>
              <w:pStyle w:val="Compact"/>
              <w:jc w:val="left"/>
            </w:pPr>
            <w:r>
              <w:t xml:space="preserve">TCI_z</w:t>
            </w:r>
          </w:p>
        </w:tc>
        <w:tc>
          <w:tcPr/>
          <w:p>
            <w:pPr>
              <w:pStyle w:val="Compact"/>
              <w:jc w:val="left"/>
            </w:pPr>
            <w:r>
              <w:t xml:space="preserve">h8, h1, b8, e6</w:t>
            </w:r>
          </w:p>
        </w:tc>
        <w:tc>
          <w:tcPr/>
          <w:p>
            <w:pPr>
              <w:pStyle w:val="Compact"/>
              <w:jc w:val="left"/>
            </w:pPr>
            <w:r>
              <w:t xml:space="preserve">z-std(mean(R&amp;D activity, product innovation, quality certification, foreign-licensed technology))</w:t>
            </w:r>
          </w:p>
        </w:tc>
        <w:tc>
          <w:tcPr/>
          <w:p>
            <w:pPr>
              <w:pStyle w:val="Compact"/>
              <w:jc w:val="left"/>
            </w:pPr>
            <w:r>
              <w:t xml:space="preserve">Technological capability (H1-TCI)</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z-std(mean(website presence, customer e-payment share, supplier e-payment share)): Tier 1+2</w:t>
            </w:r>
          </w:p>
        </w:tc>
        <w:tc>
          <w:tcPr/>
          <w:p>
            <w:pPr>
              <w:pStyle w:val="Compact"/>
              <w:jc w:val="left"/>
            </w:pPr>
            <w:r>
              <w:t xml:space="preserve">Digital adoption (H2, H3)</w:t>
            </w:r>
          </w:p>
        </w:tc>
      </w:tr>
      <w:tr>
        <w:tc>
          <w:tcPr/>
          <w:p>
            <w:pPr>
              <w:pStyle w:val="Compact"/>
              <w:jc w:val="left"/>
            </w:pPr>
            <w:r>
              <w:t xml:space="preserve">FSTS_c × DAI_z</w:t>
            </w:r>
          </w:p>
        </w:tc>
        <w:tc>
          <w:tcPr/>
          <w:p>
            <w:pPr>
              <w:pStyle w:val="Compact"/>
              <w:jc w:val="left"/>
            </w:pPr>
            <w:r>
              <w:t xml:space="preserve">—</w:t>
            </w:r>
          </w:p>
        </w:tc>
        <w:tc>
          <w:tcPr/>
          <w:p>
            <w:pPr>
              <w:pStyle w:val="Compact"/>
              <w:jc w:val="left"/>
            </w:pPr>
            <w:r>
              <w:t xml:space="preserve">Interaction: linear FSTS × DAI</w:t>
            </w:r>
          </w:p>
        </w:tc>
        <w:tc>
          <w:tcPr/>
          <w:p>
            <w:pPr>
              <w:pStyle w:val="Compact"/>
              <w:jc w:val="left"/>
            </w:pPr>
            <w:r>
              <w:t xml:space="preserve">H3 test (linear component)</w:t>
            </w:r>
          </w:p>
        </w:tc>
      </w:tr>
      <w:tr>
        <w:tc>
          <w:tcPr/>
          <w:p>
            <w:pPr>
              <w:pStyle w:val="Compact"/>
              <w:jc w:val="left"/>
            </w:pPr>
            <w:r>
              <w:t xml:space="preserve">FSTS_c² × DAI_z</w:t>
            </w:r>
          </w:p>
        </w:tc>
        <w:tc>
          <w:tcPr/>
          <w:p>
            <w:pPr>
              <w:pStyle w:val="Compact"/>
              <w:jc w:val="left"/>
            </w:pPr>
            <w:r>
              <w:t xml:space="preserve">—</w:t>
            </w:r>
          </w:p>
        </w:tc>
        <w:tc>
          <w:tcPr/>
          <w:p>
            <w:pPr>
              <w:pStyle w:val="Compact"/>
              <w:jc w:val="left"/>
            </w:pPr>
            <w:r>
              <w:t xml:space="preserve">Interaction: quadratic FSTS × DAI</w:t>
            </w:r>
          </w:p>
        </w:tc>
        <w:tc>
          <w:tcPr/>
          <w:p>
            <w:pPr>
              <w:pStyle w:val="Compact"/>
              <w:jc w:val="left"/>
            </w:pPr>
            <w:r>
              <w:t xml:space="preserve">H3 test — amplification (primary)</w:t>
            </w:r>
          </w:p>
        </w:tc>
      </w:tr>
      <w:tr>
        <w:tc>
          <w:tcPr/>
          <w:p>
            <w:pPr>
              <w:pStyle w:val="Compact"/>
              <w:jc w:val="left"/>
            </w:pPr>
            <w:r>
              <w:t xml:space="preserve">ln(Employees)</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 year − establishment year</w:t>
            </w:r>
          </w:p>
        </w:tc>
        <w:tc>
          <w:tcPr/>
          <w:p>
            <w:pPr>
              <w:pStyle w:val="Compact"/>
              <w:jc w:val="left"/>
            </w:pPr>
            <w:r>
              <w:t xml:space="preserve">Age control</w:t>
            </w:r>
          </w:p>
        </w:tc>
      </w:tr>
      <w:tr>
        <w:tc>
          <w:tcPr/>
          <w:p>
            <w:pPr>
              <w:pStyle w:val="Compact"/>
              <w:jc w:val="left"/>
            </w:pPr>
            <w:r>
              <w:t xml:space="preserve">ForeignOwn</w:t>
            </w:r>
          </w:p>
        </w:tc>
        <w:tc>
          <w:tcPr/>
          <w:p>
            <w:pPr>
              <w:pStyle w:val="Compact"/>
              <w:jc w:val="left"/>
            </w:pPr>
            <w:r>
              <w:t xml:space="preserve">b6a</w:t>
            </w:r>
          </w:p>
        </w:tc>
        <w:tc>
          <w:tcPr/>
          <w:p>
            <w:pPr>
              <w:pStyle w:val="Compact"/>
              <w:jc w:val="left"/>
            </w:pPr>
            <w:r>
              <w:t xml:space="preserve">1 if foreign equity ≥ 10%</w:t>
            </w:r>
          </w:p>
        </w:tc>
        <w:tc>
          <w:tcPr/>
          <w:p>
            <w:pPr>
              <w:pStyle w:val="Compact"/>
              <w:jc w:val="left"/>
            </w:pPr>
            <w:r>
              <w:t xml:space="preserve">Ownership control</w:t>
            </w:r>
          </w:p>
        </w:tc>
      </w:tr>
      <w:tr>
        <w:tc>
          <w:tcPr/>
          <w:p>
            <w:pPr>
              <w:pStyle w:val="Compact"/>
              <w:jc w:val="left"/>
            </w:pPr>
            <w:r>
              <w:t xml:space="preserve">Sector FE</w:t>
            </w:r>
          </w:p>
        </w:tc>
        <w:tc>
          <w:tcPr/>
          <w:p>
            <w:pPr>
              <w:pStyle w:val="Compact"/>
              <w:jc w:val="left"/>
            </w:pPr>
            <w:r>
              <w:t xml:space="preserve">a4b/a4a</w:t>
            </w:r>
          </w:p>
        </w:tc>
        <w:tc>
          <w:tcPr/>
          <w:p>
            <w:pPr>
              <w:pStyle w:val="Compact"/>
              <w:jc w:val="left"/>
            </w:pPr>
            <w:r>
              <w:t xml:space="preserve">Manufacturing / Retail / Other services (ISIC 1-digit)</w:t>
            </w:r>
          </w:p>
        </w:tc>
        <w:tc>
          <w:tcPr/>
          <w:p>
            <w:pPr>
              <w:pStyle w:val="Compact"/>
              <w:jc w:val="left"/>
            </w:pPr>
            <w:r>
              <w:t xml:space="preserve">Sector fixed effects</w:t>
            </w:r>
          </w:p>
        </w:tc>
      </w:tr>
    </w:tbl>
    <w:bookmarkEnd w:id="25"/>
    <w:bookmarkStart w:id="26" w:name="Xf0d337b7871f1e30984357ede4c26fad3ab0772"/>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as a hierarchical stack (M0–M8) in Table 2, beginning with a controls-only specification and progressing to moderation models.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w:t>
      </w:r>
    </w:p>
    <w:p>
      <w:pPr>
        <w:pStyle w:val="BodyText"/>
      </w:pPr>
      <w:r>
        <w:t xml:space="preserve">The estimation sequence is:</w:t>
      </w:r>
    </w:p>
    <w:p>
      <w:pPr>
        <w:pStyle w:val="BodyText"/>
      </w:pPr>
      <w:r>
        <w:rPr>
          <w:bCs/>
          <w:b/>
        </w:rPr>
        <w:t xml:space="preserve">M0 (Controls only — baseline):</w:t>
      </w:r>
      <w:r>
        <w:t xml:space="preserve"> </w:t>
      </w:r>
      <w:r>
        <w:t xml:space="preserve">ln(LP)ᵢ = α + γ₁ ln(Emp)ᵢ + γ₂ FirmAgeᵢ + γ₃ ForeignOwnᵢ + δ_s + εᵢ</w:t>
      </w:r>
    </w:p>
    <w:p>
      <w:pPr>
        <w:pStyle w:val="BodyText"/>
      </w:pPr>
      <w:r>
        <w:rPr>
          <w:bCs/>
          <w:b/>
        </w:rPr>
        <w:t xml:space="preserve">M1 (Linear FSTS):</w:t>
      </w:r>
      <w:r>
        <w:t xml:space="preserve"> </w:t>
      </w:r>
      <w:r>
        <w:t xml:space="preserve">ln(LP)ᵢ = α + β₁ FSTS_cᵢ + γ·Xᵢ + δ_s + εᵢ</w:t>
      </w:r>
    </w:p>
    <w:p>
      <w:pPr>
        <w:pStyle w:val="BodyText"/>
      </w:pPr>
      <w:r>
        <w:rPr>
          <w:bCs/>
          <w:b/>
        </w:rPr>
        <w:t xml:space="preserve">M2 (Quadratic FSTS — H1 baseline curvature test):</w:t>
      </w:r>
      <w:r>
        <w:t xml:space="preserve"> </w:t>
      </w:r>
      <w:r>
        <w:t xml:space="preserve">ln(LP)ᵢ = α + β₁ FSTS_cᵢ + β₂ FSTS_c²ᵢ + γ·Xᵢ + δ_s + εᵢ</w:t>
      </w:r>
      <w:r>
        <w:t xml:space="preserve"> </w:t>
      </w:r>
      <w:r>
        <w:t xml:space="preserve">Turning point: TP* = −β₁ / (2β₂) + mean(FSTS) [H1: expected TP support-constrained; LM test p = .303]</w:t>
      </w:r>
    </w:p>
    <w:p>
      <w:pPr>
        <w:pStyle w:val="BodyText"/>
      </w:pPr>
      <w:r>
        <w:rPr>
          <w:bCs/>
          <w:b/>
        </w:rPr>
        <w:t xml:space="preserve">M3 (TCI direct — H1-TCI level effect):</w:t>
      </w:r>
      <w:r>
        <w:t xml:space="preserve"> </w:t>
      </w:r>
      <w:r>
        <w:t xml:space="preserve">ln(LP)ᵢ = α + β₁ FSTS_cᵢ + β₂ FSTS_c²ᵢ + β₃ TCI_zᵢ + γ·Xᵢ + δ_s + εᵢ</w:t>
      </w:r>
    </w:p>
    <w:p>
      <w:pPr>
        <w:pStyle w:val="BodyText"/>
      </w:pPr>
      <w:r>
        <w:rPr>
          <w:bCs/>
          <w:b/>
        </w:rPr>
        <w:t xml:space="preserve">M4 (TCI moderation — supplementary):</w:t>
      </w:r>
      <w:r>
        <w:t xml:space="preserve"> </w:t>
      </w:r>
      <w:r>
        <w:t xml:space="preserve">ln(LP)ᵢ = α + β₁ FSTS_cᵢ + β₂ FSTS_c²ᵢ + β₃ TCI_zᵢ + β₄(FSTS_cᵢ × TCI_zᵢ) + β₅(FSTS_c²ᵢ × TCI_zᵢ) + γ·Xᵢ + δ_s + εᵢ</w:t>
      </w:r>
    </w:p>
    <w:p>
      <w:pPr>
        <w:pStyle w:val="BodyText"/>
      </w:pPr>
      <w:r>
        <w:rPr>
          <w:bCs/>
          <w:b/>
        </w:rPr>
        <w:t xml:space="preserve">M5 (DAI direct — H2 test):</w:t>
      </w:r>
      <w:r>
        <w:t xml:space="preserve"> </w:t>
      </w:r>
      <w:r>
        <w:t xml:space="preserve">ln(LP)ᵢ = α + β₁ FSTS_cᵢ + β₂ FSTS_c²ᵢ + β₃ DAI_zᵢ + γ·Xᵢ + δ_s + εᵢ</w:t>
      </w:r>
    </w:p>
    <w:p>
      <w:pPr>
        <w:pStyle w:val="BodyText"/>
      </w:pPr>
      <w:r>
        <w:rPr>
          <w:bCs/>
          <w:b/>
        </w:rPr>
        <w:t xml:space="preserve">M6 (Dual direct effects):</w:t>
      </w:r>
      <w:r>
        <w:t xml:space="preserve"> </w:t>
      </w:r>
      <w:r>
        <w:t xml:space="preserve">ln(LP)ᵢ = α + β₁ FSTS_cᵢ + β₂ FSTS_c²ᵢ + β₃ TCI_zᵢ + β₄ DAI_zᵢ + γ·Xᵢ + δ_s + εᵢ</w:t>
      </w:r>
    </w:p>
    <w:p>
      <w:pPr>
        <w:pStyle w:val="BodyText"/>
      </w:pPr>
      <w:r>
        <w:rPr>
          <w:bCs/>
          <w:b/>
        </w:rPr>
        <w:t xml:space="preserve">M7 (DAI linear interaction):</w:t>
      </w:r>
      <w:r>
        <w:t xml:space="preserve"> </w:t>
      </w:r>
      <w:r>
        <w:t xml:space="preserve">ln(LP)ᵢ = α + β₁ FSTS_cᵢ + β₂ FSTS_c²ᵢ + β₃ TCI_zᵢ + β₄ DAI_zᵢ + β₅(FSTS_cᵢ × DAI_zᵢ) + γ·Xᵢ + δ_s + εᵢ</w:t>
      </w:r>
    </w:p>
    <w:p>
      <w:pPr>
        <w:pStyle w:val="BodyText"/>
      </w:pPr>
      <w:r>
        <w:rPr>
          <w:bCs/>
          <w:b/>
        </w:rPr>
        <w:t xml:space="preserve">M8 (Full moderation model — H3 primary test):</w:t>
      </w:r>
      <w:r>
        <w:t xml:space="preserve"> </w:t>
      </w:r>
      <w:r>
        <w:t xml:space="preserve">ln(LP)ᵢ = α + β₁ FSTS_cᵢ + β₂ FSTS_c²ᵢ + β₃ TCI_zᵢ + β₄ DAI_zᵢ + β₅(FSTS_cᵢ × DAI_zᵢ) + β₆(FSTS_c²ᵢ × DAI_zᵢ) + γ·Xᵢ + δ_s + εᵢ</w:t>
      </w:r>
      <w:r>
        <w:t xml:space="preserve"> </w:t>
      </w:r>
      <w:r>
        <w:t xml:space="preserve">[H3: β₆ &gt; 0 (p &lt; .01) — amplification; confirmed: β₆ = +3.119, p = .005]</w:t>
      </w:r>
    </w:p>
    <w:p>
      <w:pPr>
        <w:pStyle w:val="BodyText"/>
      </w:pPr>
      <w:r>
        <w:t xml:space="preserve">where Xᵢ = {ln(Emp), FirmAge, ForeignOwn} and δ_s = broad sector fixed effects. HC1 heteroskedasticity-robust standard errors throughout (MacKinnon &amp; White, 1985). A supplementary Heckman inverse-Mills-ratio specification adds IMR from a first-stage probit of export participation (see Section 3.4(iv)).</w:t>
      </w:r>
    </w:p>
    <w:p>
      <w:pPr>
        <w:pStyle w:val="BodyText"/>
      </w:pPr>
      <w:r>
        <w:t xml:space="preserve">The full model includes centred FSTS, squared centred FSTS, TCI, DAI, the interaction between FSTS and DAI, and the quadratic interaction between FSTS²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 cross-sectional variation in trade costs, export-promotion eligibility, or broadband-rollout timing is not available within the survey frame — OLS with HC1 robust standard errors is adopted as the primary specification. This choice follows Wolfolds and Siegel (2019), who find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Section 3.4 below for transparency, but is not treated as the primary specification. The associational nature of the OLS estimates is therefore acknowledged upfront, and inferential claims are bounded to within-context associations rather than causal effects.</w:t>
      </w:r>
    </w:p>
    <w:bookmarkEnd w:id="26"/>
    <w:bookmarkStart w:id="27" w:name="X0fcf099929e626b10071b523c2c83735d5a4cd9"/>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Section 4 results can be presented without recurrent caveats and the Section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82 %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Section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 but the appropriate reading of this null is not</w:t>
      </w:r>
      <w:r>
        <w:t xml:space="preserve"> </w:t>
      </w:r>
      <w:r>
        <w:t xml:space="preserve">“</w:t>
      </w:r>
      <w:r>
        <w:t xml:space="preserve">the inverted-U fails</w:t>
      </w:r>
      <w:r>
        <w:t xml:space="preserve">”</w:t>
      </w:r>
      <w:r>
        <w:t xml:space="preserve">, because the test is conditioned on dense support around the turning point, which the Section 3.4(i) sample-support boundary establishes is absent here. Read against the saturation hypothesis developed in Section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Section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Section 4 results below are reported on this consolidated identification scope, and Section 5 interprets the substantive findings without further re-litigation of these boundary conditions.</w:t>
      </w:r>
    </w:p>
    <w:bookmarkEnd w:id="27"/>
    <w:bookmarkEnd w:id="28"/>
    <w:bookmarkStart w:id="39" w:name="results"/>
    <w:p>
      <w:pPr>
        <w:pStyle w:val="Heading2"/>
      </w:pPr>
      <w:r>
        <w:t xml:space="preserve">4 Results</w:t>
      </w:r>
    </w:p>
    <w:bookmarkStart w:id="29" w:name="descriptive-statistics"/>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r>
        <w:t xml:space="preserve"> </w:t>
      </w:r>
      <w:r>
        <w:t xml:space="preserve">### 4.2 The I–P relationship: primarily monotonic with mild curvature</w:t>
      </w:r>
      <w:r>
        <w:t xml:space="preserve"> </w:t>
      </w:r>
      <w:r>
        <w:t xml:space="preserve">In the baseline quadratic specification (Model M2), the linear FSTS term is positive and statistically significant (β = +2.652, SE = 0.691, p &lt; .001), whereas the squared term is negative (β = −1.705, SE = 0.931, p = .068).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where approximately 67% of firms report website presence and Tier 2 e-payment adoption is widespread,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w:t>
      </w:r>
      <w:r>
        <w:t xml:space="preserve"> </w:t>
      </w:r>
      <w:r>
        <w:t xml:space="preserve">“</w:t>
      </w:r>
      <w:r>
        <w:t xml:space="preserve">no inverted-U</w:t>
      </w:r>
      <w:r>
        <w:t xml:space="preserve">”</w:t>
      </w:r>
      <w:r>
        <w:t xml:space="preserve"> </w:t>
      </w:r>
      <w:r>
        <w:t xml:space="preserve">from</w:t>
      </w:r>
      <w:r>
        <w:t xml:space="preserve"> </w:t>
      </w:r>
      <w:r>
        <w:t xml:space="preserve">“</w:t>
      </w:r>
      <w:r>
        <w:t xml:space="preserve">inverted-U whose right-side decline has been pushed into the unobserved upper tail.</w:t>
      </w:r>
      <w:r>
        <w:t xml:space="preserve">”</w:t>
      </w:r>
      <w:r>
        <w:t xml:space="preserve"> </w:t>
      </w:r>
      <w:r>
        <w:t xml:space="preserve">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29"/>
    <w:bookmarkStart w:id="36" w:name="tci-results"/>
    <w:p>
      <w:pPr>
        <w:pStyle w:val="Heading3"/>
      </w:pPr>
      <w:r>
        <w:t xml:space="preserve">4.3 TCI results</w:t>
      </w:r>
    </w:p>
    <w:p>
      <w:pPr>
        <w:pStyle w:val="FirstParagraph"/>
      </w:pPr>
      <w:r>
        <w:t xml:space="preserve">The direct-effect model for technological capability (Model M5) indicates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r>
        <w:t xml:space="preserve"> </w:t>
      </w:r>
      <w:r>
        <w:t xml:space="preserve">### 4.4 DAI results</w:t>
      </w:r>
      <w:r>
        <w:t xml:space="preserve"> </w:t>
      </w: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suggesting partial overlap in the average-firm heterogeneity captured by the two constructs. This attenuation is substantively important because it suggests that DAI should not be interpreted as a large, uniform productivity premium across sampled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-1.177†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indicates a strongly positive linear FSTS term and a marginally negative squared term, suggesting that the internationalization–performance relationship is better read as predominantly monotonic positive with mild quadratic curvature rather than as a formally established inverted-U. The direct-effect models further indicate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suggests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564514" cy="3588675"/>
            <wp:effectExtent b="0" l="0" r="0" t="0"/>
            <wp:docPr descr="Figure 2: Marginal effects of DAI on log labour productivity at varying FSTS levels (Singapore, N=617)" title="" id="31" name="Picture"/>
            <a:graphic>
              <a:graphicData uri="http://schemas.openxmlformats.org/drawingml/2006/picture">
                <pic:pic>
                  <pic:nvPicPr>
                    <pic:cNvPr descr="figures/p4_singapore/figure_2_dai_marginal_effect.png" id="32" name="Picture"/>
                    <pic:cNvPicPr>
                      <a:picLocks noChangeArrowheads="1" noChangeAspect="1"/>
                    </pic:cNvPicPr>
                  </pic:nvPicPr>
                  <pic:blipFill>
                    <a:blip r:embed="rId30"/>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422070" cy="3593270"/>
            <wp:effectExtent b="0" l="0" r="0" t="0"/>
            <wp:docPr descr="Figure 3: Predicted I–P curve with bootstrap confidence band (Singapore, OLS M2)" title="" id="34" name="Picture"/>
            <a:graphic>
              <a:graphicData uri="http://schemas.openxmlformats.org/drawingml/2006/picture">
                <pic:pic>
                  <pic:nvPicPr>
                    <pic:cNvPr descr="figures/p4_singapore/figure_3_predicted_ip_curve.png" id="35" name="Picture"/>
                    <pic:cNvPicPr>
                      <a:picLocks noChangeArrowheads="1" noChangeAspect="1"/>
                    </pic:cNvPicPr>
                  </pic:nvPicPr>
                  <pic:blipFill>
                    <a:blip r:embed="rId33"/>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82% on the original scale (−β₁/2β₂ on mean-centered FSTS ≈ 77.8%; adding back the sample mean of 0.045 gives ≈ 82%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p>
    <w:bookmarkEnd w:id="36"/>
    <w:bookmarkStart w:id="37" w:name="robustness-checks"/>
    <w:p>
      <w:pPr>
        <w:pStyle w:val="Heading3"/>
      </w:pPr>
      <w:r>
        <w:t xml:space="preserve">4.5 Robustness checks</w:t>
      </w:r>
    </w:p>
    <w:p>
      <w:pPr>
        <w:pStyle w:val="FirstParagraph"/>
      </w:pPr>
      <w:r>
        <w:t xml:space="preserve">The robustness analysis suggests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Section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statistically significant (F = 6.32, p = .003), corroborating the amplification mechanism documented in the full sample; the power-bounded inferential reading of this exporters-only result is established at Section 3.4(ii) and is not repeated here. (ii)</w:t>
      </w:r>
      <w:r>
        <w:t xml:space="preserve"> </w:t>
      </w:r>
      <w:r>
        <w:rPr>
          <w:iCs/>
          <w:i/>
        </w:rPr>
        <w:t xml:space="preserve">Export participation selection</w:t>
      </w:r>
      <w:r>
        <w:t xml:space="preserve">: the inverse-Mills-ratio sensitivity diagnostic for selection at the extensive margin of exporting is reported at Section 3.4(iv); the diagnostic is consistent with robustness of the H3 amplification mechanism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r>
        <w:t xml:space="preserve"> </w:t>
      </w:r>
      <w:r>
        <w:t xml:space="preserve">## 5 Discussion</w:t>
      </w:r>
      <w:r>
        <w:t xml:space="preserve"> </w:t>
      </w:r>
      <w:r>
        <w:t xml:space="preserve">### 5.1 Theoretical implications</w:t>
      </w:r>
      <w:r>
        <w:t xml:space="preserve"> </w:t>
      </w:r>
      <w:r>
        <w:t xml:space="preserve">Three theoretical implications follow from these findings. The TCI result is the most straightforward: it supports a capability-depth interpretation of firm performance in internationalizing firms. Technological capability is positively associated with labour productivity in a way that proves more stable than any moderation pattern identified in the present design, which fits the view that internal capability depth underpins a stronger productivity base from which firms engage international markets. This reading sits comfortably within the absorptive-capacity and technological-capability traditions, treating learning, innovation, and technology absorption as firm-internal sources of productivity heterogeneity rather than as clearly identified shifters of I–P curvature.</w:t>
      </w:r>
      <w:r>
        <w:t xml:space="preserve"> </w:t>
      </w:r>
      <w:r>
        <w:t xml:space="preserve">The second implication concerns the curve itself: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It is, rather, that the study provides within-context evidence from Singapore showing how the conventional I–P logic appears when most firms remain clustered at very low export intensity and the upper tail is thin. The study thus sharpens interpretation of the nonlinear literature without claiming that a single-country cross-section can separate a context-specific mechanism from Singapore-specific institutional features.</w:t>
      </w:r>
      <w:r>
        <w:t xml:space="preserve"> </w:t>
      </w:r>
      <w:r>
        <w:t xml:space="preserve">The third implication, and the one least anticipated by prior work, is that the DAI result casts foundational digital adoption as a conditional scaling resource rather than a uniform firm-level productivity premium. Across much of the observed export-intensity distribution, the DAI association is weak or statistically indistinct. It becomes more positive only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though the evidence is concentrated in a thin-support region and should be read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Framed as a</w:t>
      </w:r>
      <w:r>
        <w:t xml:space="preserve"> </w:t>
      </w:r>
      <w:r>
        <w:rPr>
          <w:iCs/>
          <w:i/>
        </w:rPr>
        <w:t xml:space="preserve">fixed-transaction-cost amortization</w:t>
      </w:r>
      <w:r>
        <w:t xml:space="preserve"> </w:t>
      </w:r>
      <w:r>
        <w:t xml:space="preserve">logic, the sunk fixed cost of installing advanced digital interfaces is recovered only at extreme export scale; this is one reason the implied turning point is pushed into the high-FSTS tail (≈82%) rather than the conventional 30–60% range (a support-constrained estimate, not a precise threshold). In this role DAI operates as a</w:t>
      </w:r>
      <w:r>
        <w:t xml:space="preserve"> </w:t>
      </w:r>
      <w:r>
        <w:rPr>
          <w:iCs/>
          <w:i/>
        </w:rPr>
        <w:t xml:space="preserve">scale lubricant</w:t>
      </w:r>
      <w:r>
        <w:t xml:space="preserve"> </w:t>
      </w:r>
      <w:r>
        <w:t xml:space="preserve">that lowers the marginal coordination cost of each additional unit of cross-border throughput, rather than as a uniform firm-wide premium. The absence of a uniform DAI premium across the full sample is itself theoretically informative: in an environment where Tier 1–2 digital tools are near-universally diffused, these tools cannot generate cross-sectional productivity advantages in domestic operations, which is consistent with the digital saturation paradox outlined in the introduction. Their measurable return surfaces only when the scaling demands of high export intensity justify intensive use of digital interfaces and transaction systems. The scale of Singapore’s innovation ecosystem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confirms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Section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for which no instrument satisfying the exclusion restriction is available in the single-wave Singapore design, and the Section 4.5 (ii) Heckman sensitivity diagnostic indicates mild but non-eliminating extensive-margin selection. Read together, the evidence supports amplification as the focal mechanism while retaining selection as a bounded residual concern, in line with the Section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The Section 4.5 R1 specification makes this clear: when DAI is reduced to the website-only Tier-1 binary, the quadratic interaction weakens substantially (β drops from +3.119 to +1.552, joint F retained marginal at 4.01, p = .019), and the item-swap falsification test indicates that the moderation weakens substantially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broadly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website presence (c22b) combined with electronic payment integration (k33/k38) embedded in the public digital infrastructure, enabling firms to execute frictionless cross-border transactions. In contrast, in transitional economies where Tier-2 payment infrastructure remains institutionally bounded (settings where cross-border electronic-payment rails reached systemic scale only in the late 2010s, as documented across lower-middle-income Asia in World Bank digital infrastructure assessments (World Bank, 2023)),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37"/>
    <w:bookmarkStart w:id="38" w:name="managerial-implications"/>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equally across sampled firms.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r>
        <w:t xml:space="preserve"> </w:t>
      </w:r>
      <w:r>
        <w:t xml:space="preserve">## 6 Conclusion</w:t>
      </w:r>
      <w:r>
        <w:t xml:space="preserve"> </w:t>
      </w: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suggests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r>
        <w:t xml:space="preserve"> </w:t>
      </w:r>
      <w:r>
        <w:t xml:space="preserve">## 7 Limitations and Future Research</w:t>
      </w:r>
      <w:r>
        <w:t xml:space="preserve"> </w:t>
      </w:r>
      <w:r>
        <w:t xml:space="preserve">Three limitations warrant caution in interpreting the findings. The first is one of design: the analysis rests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then, is that the study documents how these variables co-vary in Singapore rather than establishing a causal mechanism.</w:t>
      </w:r>
      <w:r>
        <w:t xml:space="preserve"> </w:t>
      </w:r>
      <w:r>
        <w:t xml:space="preserve">A second limitation is the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The third limitation is one of measurement: the estimated digital-adoption effect should be read within the boundary of the available indicators. The DAI construct captures Tier 1–2 digital adoption (digital presence and electronic-transaction usage)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including instrumental-variable or difference-in-differences specifications keyed to digital-infrastructure rollouts or trade-policy shocks,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r>
        <w:t xml:space="preserve"> </w:t>
      </w:r>
      <w:r>
        <w:t xml:space="preserve">## Data Availability Statement</w:t>
      </w:r>
      <w:r>
        <w:t xml:space="preserve"> </w:t>
      </w:r>
      <w:r>
        <w:t xml:space="preserve">The data analyzed in this study are from the World Bank Enterprise Survey (WBES) Singapore 2023 wave, publicly available at www.enterprisesurveys.org. Analysis scripts to replicate the results are available from the corresponding author on reasonable request.</w:t>
      </w:r>
    </w:p>
    <w:bookmarkEnd w:id="38"/>
    <w:bookmarkEnd w:id="39"/>
    <w:bookmarkStart w:id="4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40"/>
    <w:bookmarkStart w:id="41" w:name="funding"/>
    <w:p>
      <w:pPr>
        <w:pStyle w:val="Heading2"/>
      </w:pPr>
      <w:r>
        <w:t xml:space="preserve">Funding</w:t>
      </w:r>
    </w:p>
    <w:p>
      <w:pPr>
        <w:pStyle w:val="FirstParagraph"/>
      </w:pPr>
      <w:r>
        <w:t xml:space="preserve">This research received no external funding.</w:t>
      </w:r>
    </w:p>
    <w:bookmarkEnd w:id="41"/>
    <w:bookmarkStart w:id="42" w:name="conflict-of-interest"/>
    <w:p>
      <w:pPr>
        <w:pStyle w:val="Heading2"/>
      </w:pPr>
      <w:r>
        <w:t xml:space="preserve">Conflict of Interest</w:t>
      </w:r>
    </w:p>
    <w:p>
      <w:pPr>
        <w:pStyle w:val="FirstParagraph"/>
      </w:pPr>
      <w:r>
        <w:t xml:space="preserve">The authors declare no conflicts of interest.</w:t>
      </w:r>
    </w:p>
    <w:bookmarkEnd w:id="42"/>
    <w:bookmarkStart w:id="43"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 https://www.enterprisesurveys.org. Processed data and replication code are available from the corresponding author upon reasonable request.</w:t>
      </w:r>
    </w:p>
    <w:p>
      <w:r>
        <w:pict>
          <v:rect style="width:0;height:1.5pt" o:hralign="center" o:hrstd="t" o:hr="t"/>
        </w:pict>
      </w:r>
    </w:p>
    <w:bookmarkEnd w:id="43"/>
    <w:bookmarkStart w:id="44"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 https://doi.org/10.1037/0021-9010.90.1.94</w:t>
      </w:r>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 https://doi.org/10.1057/s41287-020-00328-2</w:t>
      </w:r>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r>
        <w:t xml:space="preserve"> </w:t>
      </w:r>
      <w:r>
        <w:t xml:space="preserve">Barney, J. (1991). Firm resources and sustained competitive advantage.</w:t>
      </w:r>
      <w:r>
        <w:t xml:space="preserve"> </w:t>
      </w:r>
      <w:r>
        <w:rPr>
          <w:iCs/>
          <w:i/>
        </w:rPr>
        <w:t xml:space="preserve">Journal of Management, 17</w:t>
      </w:r>
      <w:r>
        <w:t xml:space="preserve">(1), 99–120. https://doi.org/10.1177/014920639101700108</w:t>
      </w:r>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 https://doi.org/10.1016/j.ibusrev.2017.07.003</w:t>
      </w:r>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r>
        <w:t xml:space="preserve"> </w:t>
      </w:r>
      <w:r>
        <w:t xml:space="preserve">Lall, S. (1992). Technological capabilities and industrialization.</w:t>
      </w:r>
      <w:r>
        <w:t xml:space="preserve"> </w:t>
      </w:r>
      <w:r>
        <w:rPr>
          <w:iCs/>
          <w:i/>
        </w:rPr>
        <w:t xml:space="preserve">World Development, 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r>
        <w:t xml:space="preserve"> </w:t>
      </w:r>
      <w:r>
        <w:t xml:space="preserve">O’Brien, R. M. (2007). A caution regarding rules of thumb for variance inflation factors.</w:t>
      </w:r>
      <w:r>
        <w:t xml:space="preserve"> </w:t>
      </w:r>
      <w:r>
        <w:rPr>
          <w:iCs/>
          <w:i/>
        </w:rPr>
        <w:t xml:space="preserve">Quality &amp; Quantity, 41</w:t>
      </w:r>
      <w:r>
        <w:t xml:space="preserve">(5), 673–690. https://doi.org/10.1007/s11135-006-9018-6</w:t>
      </w:r>
      <w:r>
        <w:t xml:space="preserve"> </w:t>
      </w:r>
      <w:r>
        <w:t xml:space="preserve">Peng, M. W. (2003). Institutional transitions and strategic choices.</w:t>
      </w:r>
      <w:r>
        <w:t xml:space="preserve"> </w:t>
      </w:r>
      <w:r>
        <w:rPr>
          <w:iCs/>
          <w:i/>
        </w:rPr>
        <w:t xml:space="preserve">Academy of Management Review, 28</w:t>
      </w:r>
      <w:r>
        <w:t xml:space="preserve">(2), 275–296. https://doi.org/10.5465/amr.2003.9416341</w:t>
      </w:r>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 https://doi.org/10.1057/palgrave.jibs.8400073</w:t>
      </w:r>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 https://doi.org/10.1177/0149206319846272</w:t>
      </w:r>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r>
        <w:pict>
          <v:rect style="width:0;height:1.5pt" o:hralign="center" o:hrstd="t" o:hr="t"/>
        </w:pict>
      </w:r>
    </w:p>
    <w:p>
      <w:pPr>
        <w:pStyle w:val="FirstParagraph"/>
      </w:pPr>
      <w:r>
        <w:rPr>
          <w:iCs/>
          <w:i/>
        </w:rPr>
        <w:t xml:space="preserve">Additional contextual sources (cited in Section 1.1 and Section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StartupBlink. (2025).</w:t>
      </w:r>
      <w:r>
        <w:t xml:space="preserve"> </w:t>
      </w:r>
      <w:r>
        <w:rPr>
          <w:iCs/>
          <w:i/>
        </w:rPr>
        <w:t xml:space="preserve">Global Startup Ecosystem Index 2025</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t xml:space="preserve">World Bank. (2024).</w:t>
      </w:r>
      <w:r>
        <w:t xml:space="preserve"> </w:t>
      </w:r>
      <w:r>
        <w:rPr>
          <w:iCs/>
          <w:i/>
        </w:rPr>
        <w:t xml:space="preserve">World Bank Enterprise Survey: Singapore 2023</w:t>
      </w:r>
      <w:r>
        <w:t xml:space="preserve">. https://www.enterprisesurveys.org</w:t>
      </w:r>
    </w:p>
    <w:bookmarkEnd w:id="44"/>
    <w:bookmarkEnd w:id="4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2026-05-26T15:21:23Z</dcterms:created>
  <dcterms:modified xsi:type="dcterms:W3CDTF">2026-05-26T15:21:23Z</dcterms:modified>
</cp:coreProperties>
</file>

<file path=docProps/custom.xml><?xml version="1.0" encoding="utf-8"?>
<Properties xmlns="http://schemas.openxmlformats.org/officeDocument/2006/custom-properties" xmlns:vt="http://schemas.openxmlformats.org/officeDocument/2006/docPropsVTypes"/>
</file>