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shape is</w:t>
      </w:r>
      <w:r>
        <w:t xml:space="preserve"> </w:t>
      </w:r>
      <w:r>
        <w:rPr>
          <w:iCs/>
          <w:i/>
        </w:rPr>
        <w:t xml:space="preserve">jointly conditioned</w:t>
      </w:r>
      <w:r>
        <w:t xml:space="preserve"> </w:t>
      </w:r>
      <w:r>
        <w:t xml:space="preserve">by the institutional regime in which a firm operates and by the firm’s digital capability — with the institutional regime governing the curve’s amplitude and digital capability reshaping it, the latter operating as a partial</w:t>
      </w:r>
      <w:r>
        <w:t xml:space="preserve"> </w:t>
      </w:r>
      <w:r>
        <w:rPr>
          <w:iCs/>
          <w:i/>
        </w:rPr>
        <w:t xml:space="preserve">substitute</w:t>
      </w:r>
      <w:r>
        <w:t xml:space="preserve"> </w:t>
      </w:r>
      <w:r>
        <w:t xml:space="preserve">for institutional strength rather than as a uniform enhancer. Using harmonised microdata from 98,658 firm-observations (baseline estimation sample N = 82,302 after non-missing productivity and export-intensity requirements; 28,500 in the fully specified model) across 45 economies and 98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37% of sales from exports (Lind–Mehlum test p &lt; .001; confirmed in M11 at TP=25.7%, p=.026). Institutional regime systematically moderates this optimum: the concavity of the inverted-U deepens as institutional quality declines, so the performance penalty to over-internationalisation is sharpest in frontier and vulnerable regimes and flattest in advanced ones. Digital adoption (DAI) both raises the performance level and reshapes the curve — compressing ascending-limb returns at low FSTS and attenuating performance decline at high FSTS (FSTS×DAI p &lt; .01; FSTS²×DAI p &lt; .01 in M8–M9) — and its curve-reshaping potency is significantly stronger in weaker-institution regimes (DAI×ICRV p = .049),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w:t>
      </w:r>
      <w:r>
        <w:t xml:space="preserve">— not the sign of the average effect —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 from advanced innovation-driven economies (Singapore, Korea, Taiwan, HongKong, Israel) to Pacific Small Island Developing States (Vanuatu, Solomon Islands, Fiji, Tonga, Samoa, Kiribati, Papua New Guinea, Timor-Leste) and Gulf advanced-resource economies (Bahrain, Kuwait, Qatar, Brunei, Saudi Arabia) —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 the</w:t>
      </w:r>
      <w:r>
        <w:t xml:space="preserve"> </w:t>
      </w:r>
      <w:r>
        <w:rPr>
          <w:bCs/>
          <w:b/>
        </w:rPr>
        <w:t xml:space="preserve">Institutional Context Regime Variation (ICRV)</w:t>
      </w:r>
      <w:r>
        <w:t xml:space="preserve"> </w:t>
      </w:r>
      <w:r>
        <w:t xml:space="preserve">framework —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 ranging from 34.1% to 39.5% —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 higher TCI raises baseline performance</w:t>
      </w:r>
    </w:p>
    <w:p>
      <w:pPr>
        <w:numPr>
          <w:ilvl w:val="0"/>
          <w:numId w:val="1001"/>
        </w:numPr>
        <w:pStyle w:val="Compact"/>
      </w:pPr>
      <w:r>
        <w:t xml:space="preserve">FSTS×TCI: β = −0.111 (NS) — the ascending limb interaction is not significant</w:t>
      </w:r>
    </w:p>
    <w:p>
      <w:pPr>
        <w:numPr>
          <w:ilvl w:val="0"/>
          <w:numId w:val="1001"/>
        </w:numPr>
        <w:pStyle w:val="Compact"/>
      </w:pPr>
      <w:r>
        <w:t xml:space="preserve">FSTS²×TCI: β = −0.191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w:t>
      </w:r>
      <w:r>
        <w:t xml:space="preserve"> </w:t>
      </w:r>
      <w:r>
        <w:rPr>
          <w:bCs/>
          <w:b/>
          <w:iCs/>
          <w:i/>
        </w:rPr>
        <w:t xml:space="preserve">) and FSTS²×DAI = +0.726 (p = .002,</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w:t>
      </w:r>
      <w:r>
        <w:rPr>
          <w:iCs/>
          <w:i/>
        </w:rPr>
        <w:t xml:space="preserve"> </w:t>
      </w:r>
      <w:r>
        <w:rPr>
          <w:bCs/>
          <w:b/>
        </w:rPr>
        <w:t xml:space="preserve">) and FSTS²×DAI =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 controlling for TCI, DAI, and firm characteristics —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 even mildly convex within the observed range —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w:t>
      </w:r>
      <w:r>
        <w:t xml:space="preserve">— a stock property of productivity —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0"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 a pronounced inverted-U in weaker-institution economies, flattening toward a near-linear profile in advanced ones — while digital capability reshapes the curve and relocates its effective optimum (H3). This dissolves the apparent contradiction between studies reporting positive-linear, inverted-U, and null effects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 dimensions that the varieties-of-capitalism (Hall &amp; Soskice, 2001) and institutional-voids (Khanna &amp; Palepu, 1997) traditions treat separately —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 an inverted-U with a turning point at approximately 37% foreign sales intensity, robust across 45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 and the significant DAI×ICRV interaction (β = +0.052, p = .049)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45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9"/>
    <w:bookmarkEnd w:id="50"/>
    <w:bookmarkStart w:id="51"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 peaking at approximately 37% export intensity — yet its optimum is jointly conditioned by institutional regime and digital capability — institutions governing the curve’s amplitude and digital capability reshaping it — with digital capability operating as a partial substitute for institutional strength. Three implications follow. First, for firms on the ascending limb (FSTS &lt; 36%),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 the sample’s largest Group IV economy —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2"/>
    <w:bookmarkStart w:id="53"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w:t>
      </w:r>
      <w:r>
        <w:rPr>
          <w:iCs/>
          <w:i/>
        </w:rPr>
        <w:t xml:space="preserve">, three-way FSTS×DAI×ICRV=−0.016 (NS), mgr_experience=+0.022</w:t>
      </w:r>
      <w:r>
        <w:rPr>
          <w:bCs/>
          <w:b/>
        </w:rPr>
        <w:t xml:space="preserve">, FSTS×mgr=+0.007 (NS), mgr_female=+0.210</w:t>
      </w:r>
      <w:r>
        <w:t xml:space="preserve">*, female_owner=+0.122**.</w:t>
      </w:r>
    </w:p>
    <w:p>
      <w:r>
        <w:pict>
          <v:rect style="width:0;height:1.5pt" o:hralign="center" o:hrstd="t" o:hr="t"/>
        </w:pict>
      </w:r>
    </w:p>
    <w:bookmarkEnd w:id="53"/>
    <w:bookmarkStart w:id="5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 patu@ctu.edu.vn, ORCID: 0000-0003-0667-3137</w:t>
      </w:r>
      <w:r>
        <w:br/>
      </w:r>
      <w:r>
        <w:rPr>
          <w:iCs/>
          <w:i/>
        </w:rPr>
        <w:t xml:space="preserve">First author: Do Thuy Huong, Vinh Long University of Technology Education, huongdt@vlute.edu.vn, ORCID: 0000-0002-7711-2487</w:t>
      </w:r>
    </w:p>
    <w:bookmarkEnd w:id="54"/>
    <w:bookmarkEnd w:id="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2026-05-26T15:21:49Z</dcterms:created>
  <dcterms:modified xsi:type="dcterms:W3CDTF">2026-05-26T15:21:49Z</dcterms:modified>
</cp:coreProperties>
</file>

<file path=docProps/custom.xml><?xml version="1.0" encoding="utf-8"?>
<Properties xmlns="http://schemas.openxmlformats.org/officeDocument/2006/custom-properties" xmlns:vt="http://schemas.openxmlformats.org/officeDocument/2006/docPropsVTypes"/>
</file>