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Target journal</w:t>
      </w:r>
      <w:r>
        <w:t xml:space="preserve">: World Development</w:t>
      </w:r>
    </w:p>
    <w:p>
      <w:pPr>
        <w:pStyle w:val="BodyText"/>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This study argues that when all three are absent at once, as they are in Pacific Small Island Developing States (SIDS), the expected non-linear pattern collapses into a monotone negative relationship. We term this the</w:t>
      </w:r>
      <w:r>
        <w:t xml:space="preserve"> </w:t>
      </w:r>
      <w:r>
        <w:rPr>
          <w:bCs/>
          <w:b/>
        </w:rPr>
        <w:t xml:space="preserve">Forced Internationalization Penalty (FIP)</w:t>
      </w:r>
      <w:r>
        <w:t xml:space="preserve">. FIP is not the downward phase-1 slope of three-stage internationalization theory. It is not a transient learning cost that eventually crosses a turning point; rather, it is a persistent structural condition that arises from the compulsion to export despite systemic disadvantages. Drawing on World Bank Enterprise Survey data from 1,469 firms across nine Pacific SIDS economies (2009–2025), the analysis indicates that internationalization intensity is robustly and negatively associated with labor productivity (β = −0.404, p = .032 in the country-and-year fixed-effects specification; β = −1.236, p &lt; .001 without country fixed effects), with no significant quadratic curvature. Technological capability and digital adoption, both significant moderators in mainland Asian contexts, turn out to be null in the SIDS environment. This pattern is consistent with the FIP mechanism: where the structural prerequisites are absent, firm-level capabilities cannot redirect the I-P relationship toward positive territory. These findings reframe the inverted-U paradigm as conditional rather than universal, identify boundary conditions for institutional moderation theory, and carry direct implications for the Antigua and Barbuda Agenda for SIDS.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which is itself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in which even an initial downward phase-1 slope is transient and eventually gives way to net benefits. Both frameworks share a foundational assumption. The institutional environment, while it may moderate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study challenges that assumption. We argue that certain structural conditions, characteristic of Small Island Developing States (SIDS), eliminate the prerequisites on which the inverted-U logic depends, and that they replace the expected non-linear pattern with a monotone negative one.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absent at once.</w:t>
      </w:r>
    </w:p>
    <w:p>
      <w:pPr>
        <w:pStyle w:val="BodyText"/>
      </w:pPr>
      <w:r>
        <w:t xml:space="preserve">SIDS offer a theoretically extreme yet empirically underserved context for I-P research. These economies are marked by microscopic domestic markets (Tonga: 104,000 inhabitants; Kiribati: 121,000), by geographic isolation so severe that it amplifies trade costs by 30–210% (Winters &amp; Martins, 2004), and by comprehensive institutional voids that limit firms’ ability to appropriate returns from international activities (Briguglio, 1995; Khanna &amp; Palepu, 2010). Recent systematic tracking across 121,249 development data points confirms that these conditions have deepened rather than abated. Progress in 2020–2025 is the slowest on record across 15 of 26 tracked benchmarks, with SIDS and Sub-Saharan Africa disproportionately affected (Pirlea et al., 2026). An independent multi-indicator analysis of six development dimensions, namely poverty, life expectancy, schooling, gender equality, climate, and electricity, finds the world developing at its slowest pace in 75 years; 54 economies remain more than a century from reaching developed-country standards on current trajectories, and SIDS are disproportionately represented in this cohort (Mahler, Serajuddin, Wadhwa, &amp; Yonzan, 2026). One point matters above the rest.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at home. This compulsion, which we describe as survival-based internationalization, fundamentally alters the logic of the I-P relationship.</w:t>
      </w:r>
    </w:p>
    <w:p>
      <w:pPr>
        <w:pStyle w:val="BodyText"/>
      </w:pPr>
      <w:r>
        <w:t xml:space="preserve">This study makes three contributions to the IB literature. First, it introduces and theoretically defines FIP as a boundary condition of the inverted-U paradigm, distinguishing it from adjacent concepts that include phase-1 costs in three-stage theory (Contractor et al., 2003), Liability of Foreignness (Zaheer, 1995), and necessity entrepreneurship (Sarasvathy et al., 2014). Second, it provides empirical evidence from 1,469 firms across nine Pacific SIDS economies using World Bank Enterprise Survey (WBES) data, the most comprehensive firm-level I-P analysis in Pacific SIDS to date. Third, it documents that firm-level capabilities, namely technological capability and digital adoption, do not appear to override FIP. This last result shifts the theoretical conversation from</w:t>
      </w:r>
      <w:r>
        <w:t xml:space="preserve"> </w:t>
      </w:r>
      <w:r>
        <w:t xml:space="preserve">“</w:t>
      </w:r>
      <w:r>
        <w:t xml:space="preserve">institutional moderation of the I-P relationship</w:t>
      </w:r>
      <w:r>
        <w:t xml:space="preserve">”</w:t>
      </w:r>
      <w:r>
        <w:t xml:space="preserve"> </w:t>
      </w:r>
      <w:r>
        <w:t xml:space="preserve">(Marano, Tallman, &amp; Teece, 2016) toward</w:t>
      </w:r>
      <w:r>
        <w:t xml:space="preserve"> </w:t>
      </w:r>
      <w:r>
        <w:t xml:space="preserve">“</w:t>
      </w:r>
      <w:r>
        <w:t xml:space="preserve">institutional determination of the sign of the I-P relationship.</w:t>
      </w:r>
      <w:r>
        <w:t xml:space="preserve">”</w:t>
      </w:r>
    </w:p>
    <w:p>
      <w:pPr>
        <w:pStyle w:val="BodyText"/>
      </w:pPr>
      <w:r>
        <w:t xml:space="preserve">The findings carry direct policy implications under the Antigua and Barbuda Agenda for SIDS (United Nations General Assembly, 2024). They suggest that strategies premised on export-led growth may be systematically misaligned with the structural realities of Pacific micro-economies.</w:t>
      </w:r>
    </w:p>
    <w:p>
      <w:r>
        <w:pict>
          <v:rect style="width:0;height:1.5pt" o:hralign="center" o:hrstd="t" o:hr="t"/>
        </w:pict>
      </w:r>
    </w:p>
    <w:bookmarkEnd w:id="21"/>
    <w:bookmarkStart w:id="26" w:name="theoretical-background-and-hypotheses"/>
    <w:p>
      <w:pPr>
        <w:pStyle w:val="Heading2"/>
      </w:pPr>
      <w:r>
        <w:t xml:space="preserve">2. Theoretical Background and Hypotheses</w:t>
      </w:r>
    </w:p>
    <w:bookmarkStart w:id="22" w:name="Xd1ff7c2b94994d1910854ba407ee8c9b50df341"/>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typically estimated between 30% and 70% of foreign sales to total sales (FSTS), represents the point at which marginal costs equal the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too small to support minimum efficient scale for even basic operations, firms are structurally compelled to export regardless of strategic readiness or capability. The</w:t>
      </w:r>
      <w:r>
        <w:t xml:space="preserve"> </w:t>
      </w:r>
      <w:r>
        <w:t xml:space="preserve">“</w:t>
      </w:r>
      <w:r>
        <w:t xml:space="preserve">selection into exporting</w:t>
      </w:r>
      <w:r>
        <w:t xml:space="preserve">”</w:t>
      </w:r>
      <w:r>
        <w:t xml:space="preserve"> </w:t>
      </w:r>
      <w:r>
        <w:t xml:space="preserve">assumption underlying most I-P models then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tell a different story. Absent financial intermediaries, unreliable contract enforcement, and limited trade facilitation infrastructure do not merely weaken the inverted-U; they may eliminate the mechanism that generates positive returns from internationalization altogether.</w:t>
      </w:r>
    </w:p>
    <w:bookmarkEnd w:id="22"/>
    <w:bookmarkStart w:id="23" w:name="Xb7db0e39015cb6f3662a52d47fb6342a9feb2fb"/>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It is the penalty SIDS firms incur when they export, not the penalty multinationals incur when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so the necessity-driven internationalization path remains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6db7ec46da19cbe734f496417815d07c46d6d99"/>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the standard measure of internationalization intensity,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indicating a Forced Internationalization Penalty rather than an inverted-U relationship.</w:t>
      </w:r>
    </w:p>
    <w:bookmarkEnd w:id="24"/>
    <w:bookmarkStart w:id="25" w:name="the-role-of-firm-level-capabilities"/>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enabling firms to reach better performance at any given level of internationalization,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from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that generates FIP operates at a level firm-level capabilities cannot easily offset. Two labels make this concrete. First, the negative slope is an</w:t>
      </w:r>
      <w:r>
        <w:t xml:space="preserve"> </w:t>
      </w:r>
      <w:r>
        <w:rPr>
          <w:iCs/>
          <w:i/>
        </w:rPr>
        <w:t xml:space="preserve">Isolation Penalty</w:t>
      </w:r>
      <w:r>
        <w:t xml:space="preserve"> </w:t>
      </w:r>
      <w:r>
        <w:t xml:space="preserve">— a transaction-cost-of-isolation that geographic remoteness imposes on every cross-border transaction (the 30–210% trade-cost amplification), which a compelled exporter must bear permanently rather than amortize away. Second, a digital shield presupposes a minimal payment-and-logistics substrate to function; under the</w:t>
      </w:r>
      <w:r>
        <w:t xml:space="preserve"> </w:t>
      </w:r>
      <w:r>
        <w:rPr>
          <w:iCs/>
          <w:i/>
        </w:rPr>
        <w:t xml:space="preserve">extreme institutional void</w:t>
      </w:r>
      <w:r>
        <w:t xml:space="preserve"> </w:t>
      </w:r>
      <w:r>
        <w:t xml:space="preserve">characteristic of SIDS, that substrate is largely absent, so digital capability cannot substitute for the missing institutions and physical infrastructure.</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5"/>
    <w:bookmarkEnd w:id="26"/>
    <w:bookmarkStart w:id="30" w:name="data-and-methods"/>
    <w:p>
      <w:pPr>
        <w:pStyle w:val="Heading2"/>
      </w:pPr>
      <w:r>
        <w:t xml:space="preserve">3. Data and Methods</w:t>
      </w:r>
    </w:p>
    <w:bookmarkStart w:id="27" w:name="data-source"/>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Timor-Leste, Tonga, Vanuatu, and Comoros (nine economies). The analysis sample — observations with non-missing values for labor productivity, export intensity, and firm age — comprises</w:t>
      </w:r>
      <w:r>
        <w:t xml:space="preserve"> </w:t>
      </w:r>
      <w:r>
        <w:rPr>
          <w:bCs/>
          <w:b/>
        </w:rPr>
        <w:t xml:space="preserve">1,469 firms</w:t>
      </w:r>
      <w:r>
        <w:t xml:space="preserve"> </w:t>
      </w:r>
      <w:r>
        <w:t xml:space="preserve">across multiple country-year waves.</w:t>
      </w:r>
    </w:p>
    <w:bookmarkEnd w:id="27"/>
    <w:bookmarkStart w:id="28" w:name="measures"/>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we construct FSTS (Foreign Sales to Total Sales) from WBES item d3c (percentage of sales exported), divided by 100. For the main models, FSTS is mean-centered at the wave level: FSTS_c =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 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w:t>
      </w:r>
      <w:r>
        <w:t xml:space="preserve">— the first step of digital presence. It is appropriate for the SIDS context where advanced digital infrastructure is limited —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pct" w:w="5000"/>
        <w:tblLook w:firstRow="1" w:lastRow="0" w:firstColumn="0" w:lastColumn="0" w:noHBand="0" w:noVBand="0" w:val="0020"/>
        <w:jc w:val="start"/>
      </w:tblPr>
      <w:tblGrid>
        <w:gridCol w:w="1552"/>
        <w:gridCol w:w="2018"/>
        <w:gridCol w:w="2018"/>
        <w:gridCol w:w="2329"/>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 Tier-1 only</w:t>
            </w:r>
          </w:p>
        </w:tc>
        <w:tc>
          <w:tcPr/>
          <w:p>
            <w:pPr>
              <w:pStyle w:val="Compact"/>
              <w:jc w:val="left"/>
            </w:pPr>
            <w:r>
              <w:t xml:space="preserve">Digital adoption —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model-sequence"/>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w:t>
      </w:r>
      <w:r>
        <w:t xml:space="preserve"> </w:t>
      </w:r>
      <w:r>
        <w:t xml:space="preserve">ln_LP_it = α + γ₁ ln_size_it + γ₂ firm_age_it + γ₃ foreign_own_pct_it + δ_c + λ_t + ε_it</w:t>
      </w:r>
    </w:p>
    <w:p>
      <w:pPr>
        <w:pStyle w:val="BodyText"/>
      </w:pPr>
      <w:r>
        <w:rPr>
          <w:bCs/>
          <w:b/>
        </w:rPr>
        <w:t xml:space="preserve">M1 (linear FSTS — FIP test)</w:t>
      </w:r>
      <w:r>
        <w:t xml:space="preserve">:</w:t>
      </w:r>
      <w:r>
        <w:t xml:space="preserve"> </w:t>
      </w:r>
      <w:r>
        <w:t xml:space="preserve">ln_LP_it = α + β₁ FSTS_c_it + γ·X_it + δ_c + λ_t + ε_it</w:t>
      </w:r>
    </w:p>
    <w:p>
      <w:pPr>
        <w:pStyle w:val="BodyText"/>
      </w:pPr>
      <w:r>
        <w:rPr>
          <w:bCs/>
          <w:b/>
        </w:rPr>
        <w:t xml:space="preserve">M2 (quadratic FSTS — curvature test)</w:t>
      </w:r>
      <w:r>
        <w:t xml:space="preserve">:</w:t>
      </w:r>
      <w:r>
        <w:t xml:space="preserve"> </w:t>
      </w:r>
      <w:r>
        <w:t xml:space="preserve">ln_LP_it = α + β₁ FSTS_c_it + β₂ FSTS_c²_it + γ·X_it + δ_c + λ_t + ε_it</w:t>
      </w:r>
    </w:p>
    <w:p>
      <w:pPr>
        <w:pStyle w:val="BodyText"/>
      </w:pPr>
      <w:r>
        <w:rPr>
          <w:bCs/>
          <w:b/>
        </w:rPr>
        <w:t xml:space="preserve">M3 (capabilities — moderation null test)</w:t>
      </w:r>
      <w:r>
        <w:t xml:space="preserve">:</w:t>
      </w:r>
      <w:r>
        <w:t xml:space="preserve"> </w:t>
      </w:r>
      <w:r>
        <w:t xml:space="preserve">ln_LP_it = α + β₁ 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29"/>
    <w:bookmarkEnd w:id="30"/>
    <w:bookmarkStart w:id="37" w:name="results"/>
    <w:p>
      <w:pPr>
        <w:pStyle w:val="Heading2"/>
      </w:pPr>
      <w:r>
        <w:t xml:space="preserve">4. Results</w:t>
      </w:r>
    </w:p>
    <w:bookmarkStart w:id="31" w:name="X7564ed8aad7671c5c72c9705a49a1794e1c47b3"/>
    <w:p>
      <w:pPr>
        <w:pStyle w:val="Heading3"/>
      </w:pPr>
      <w:r>
        <w:t xml:space="preserve">4.1 Sample Description and Preliminary Evidence</w:t>
      </w:r>
    </w:p>
    <w:p>
      <w:pPr>
        <w:pStyle w:val="FirstParagraph"/>
      </w:pPr>
      <w:r>
        <w:t xml:space="preserve">The analysis sample spans 1,469 firms across nine Pacific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 R² increases from 0.511 (year FE only) to 0.799 (country + year FE) when country indicators are added, confirming that 95% of explained productivity variance is between-country — a feature consistent with extreme between-country heterogeneity in institutional quality, geographic remoteness, and economic structure.</w:t>
      </w:r>
    </w:p>
    <w:bookmarkEnd w:id="31"/>
    <w:bookmarkStart w:id="32" w:name="X6abbfa22e96478212f3491c4cdbfe1ca192aca8"/>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 40.4% lower labor productivity.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0.7992, and adding FSTS_c in M1 marginally increases R² to 0.8001, which indicates that, conditional on country and year fixed effects, FSTS explains limited additional variance but does so in a consistently negative direction.</w:t>
      </w:r>
    </w:p>
    <w:p>
      <w:pPr>
        <w:pStyle w:val="BodyText"/>
      </w:pPr>
      <w:r>
        <w:t xml:space="preserve">Control variable results in M1 are consistent with established evidence: firm age is positively associated with productivity (β = +0.009, p = .052); foreign ownership shows a marginally negative association (β = −0.006, p = .056), perhaps reflecting thin foreign investment efficiency in SIDS contexts; firm size is positive but non-significant (β = +0.082, p = .242).</w:t>
      </w:r>
    </w:p>
    <w:bookmarkEnd w:id="32"/>
    <w:bookmarkStart w:id="33" w:name="Xc0a88d50ea7b5c27a76a85a44afe4aa278d46cd"/>
    <w:p>
      <w:pPr>
        <w:pStyle w:val="Heading3"/>
      </w:pPr>
      <w:r>
        <w:t xml:space="preserve">4.3 Monotone Negative Form: No Curvature (H1 — quadratic null)</w:t>
      </w:r>
    </w:p>
    <w:p>
      <w:pPr>
        <w:pStyle w:val="FirstParagraph"/>
      </w:pPr>
      <w:r>
        <w:rPr>
          <w:bCs/>
          <w:b/>
        </w:rPr>
        <w:t xml:space="preserve">M2</w:t>
      </w:r>
      <w:r>
        <w:t xml:space="preserve"> </w:t>
      </w:r>
      <w:r>
        <w:t xml:space="preserve">introduces the quadratic term FSTS_c² to test whether the negative I-P relationship is eventually reversed — i.e., whether there is any inverted-U pattern with the positive portion below our data range.</w:t>
      </w:r>
    </w:p>
    <w:p>
      <w:pPr>
        <w:pStyle w:val="BodyText"/>
      </w:pPr>
      <w:r>
        <w:t xml:space="preserve">The results are:</w:t>
      </w:r>
      <w:r>
        <w:t xml:space="preserve"> </w:t>
      </w:r>
      <w:r>
        <w:t xml:space="preserve">β(FSTS_c) = −0.925, SE = 0.828, p = .265 (n.s.)</w:t>
      </w:r>
      <w:r>
        <w:t xml:space="preserve"> </w:t>
      </w:r>
      <w:r>
        <w:t xml:space="preserve">β(FSTS_c²) = +0.649, SE = 0.980, p =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−0.925 (</w:t>
      </w:r>
      <w:r>
        <w:rPr>
          <w:iCs/>
          <w:i/>
        </w:rPr>
        <w:t xml:space="preserve">p</w:t>
      </w:r>
      <w:r>
        <w:t xml:space="preserve"> </w:t>
      </w:r>
      <w:r>
        <w:t xml:space="preserve">= .265) —</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+0.649 (</w:t>
      </w:r>
      <w:r>
        <w:rPr>
          <w:iCs/>
          <w:i/>
        </w:rPr>
        <w:t xml:space="preserve">p</w:t>
      </w:r>
      <w:r>
        <w:t xml:space="preserve"> </w:t>
      </w:r>
      <w:r>
        <w:t xml:space="preserve">= .508) —</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−(−0.925) / (2 × 0.649) = 0.712 —</w:t>
      </w:r>
      <w:r>
        <w:t xml:space="preserve"> </w:t>
      </w:r>
      <w:r>
        <w:rPr>
          <w:bCs/>
          <w:b/>
        </w:rPr>
        <w:t xml:space="preserve">implied turning point lies outside the observed sample maximum (FSTS_max ≈ 0.80, but neither β₁ nor β₂ is statistically significant)</w:t>
      </w:r>
    </w:p>
    <w:p>
      <w:pPr>
        <w:numPr>
          <w:ilvl w:val="0"/>
          <w:numId w:val="1001"/>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 .941 —</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w:t>
      </w:r>
      <w:r>
        <w:t xml:space="preserve">— consistent with H1 and the FIP structural mechanism. There is no turning point within the observed FSTS range (0–1).</w:t>
      </w:r>
    </w:p>
    <w:bookmarkEnd w:id="33"/>
    <w:bookmarkStart w:id="34" w:name="robustness"/>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 fixed effects — which might absorb too much structural variation — yields a substantially larger negative effect:</w:t>
      </w:r>
    </w:p>
    <w:p>
      <w:pPr>
        <w:pStyle w:val="BodyText"/>
      </w:pPr>
      <w:r>
        <w:t xml:space="preserve">β(FSTS)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w:r>
        <w:t xml:space="preserve">β(FSTS)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w:r>
        <w:t xml:space="preserve">β(FSTS_c)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which is the hallmark of the FIP mechanism rather than of adverse selection.</w:t>
      </w:r>
    </w:p>
    <w:bookmarkEnd w:id="34"/>
    <w:bookmarkStart w:id="35" w:name="capability-null-results-h2"/>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 Neither variable achieves statistical significance:</w:t>
      </w:r>
    </w:p>
    <w:p>
      <w:pPr>
        <w:pStyle w:val="BodyText"/>
      </w:pPr>
      <w:r>
        <w:t xml:space="preserve">β(TCI_z) = +0.058, SE = 0.085, p = .495 (n.s.)</w:t>
      </w:r>
      <w:r>
        <w:t xml:space="preserve"> </w:t>
      </w:r>
      <w:r>
        <w:t xml:space="preserve">β(DAI_z) = +0.062, SE = 0.073, p = .402 (n.s.)</w:t>
      </w:r>
    </w:p>
    <w:p>
      <w:pPr>
        <w:pStyle w:val="BodyText"/>
      </w:pPr>
      <w:r>
        <w:t xml:space="preserve">The FIP coefficient (FSTS_c) remains negative but loses significance in M3 (β = −0.974, p = .252), likely reflecting the substantially reduced sample (N = 526 for M3, versus N = 1,469 for M1, due to missing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These results are consistent with H2 (non-moderation): technological capability (TCI_z: β = +0.058, SE = 0.085, p = .495) and digital adoption (DAI_z: β = +0.062, SE = 0.073, p = .402) do not statistically significantly moderate the I-P relationship in Pacific SIDS, consistent with the FIP mechanism overwhelming capability effects in structurally constrained SIDS economies. The positive point estimates for TCI_z and DAI_z — while small and non-significant —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summary"/>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−0.404, p = .032); (ii) no significant quadratic curvature or turning point (M2: both FSTS_c and FSTS_c² non-significant); (iii) robustly negative across four specifications (M_yearFE: β = −1.236, p &lt; .001; M_bivariate: β = −1.596, p &lt; .001; exporters-only: β = −0.901, p = .027); and (iv) null capability moderation (M3: TCI_z p = .495; DAI_z p = .402).</w:t>
      </w:r>
    </w:p>
    <w:p>
      <w:r>
        <w:pict>
          <v:rect style="width:0;height:1.5pt" o:hralign="center" o:hrstd="t" o:hr="t"/>
        </w:pict>
      </w:r>
    </w:p>
    <w:bookmarkEnd w:id="36"/>
    <w:bookmarkEnd w:id="37"/>
    <w:bookmarkStart w:id="43" w:name="discussion"/>
    <w:p>
      <w:pPr>
        <w:pStyle w:val="Heading2"/>
      </w:pPr>
      <w:r>
        <w:t xml:space="preserve">5. Discussion</w:t>
      </w:r>
    </w:p>
    <w:bookmarkStart w:id="38" w:name="Xd4d8ec5bfb52f8d3fe2e7c438ba390b633573fa"/>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the data show a monotone negative relationship. It persists across four modeling specifications, and it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and firms cannot accumulate the home-base resources and organizational capabilities that fund and sustain profitable internationalization. When trade costs amplify the</w:t>
      </w:r>
      <w:r>
        <w:t xml:space="preserve"> </w:t>
      </w:r>
      <w:r>
        <w:t xml:space="preserve">“</w:t>
      </w:r>
      <w:r>
        <w:t xml:space="preserve">cost of doing business</w:t>
      </w:r>
      <w:r>
        <w:t xml:space="preserve">”</w:t>
      </w:r>
      <w:r>
        <w:t xml:space="preserve"> </w:t>
      </w:r>
      <w:r>
        <w:t xml:space="preserve">of export revenues by 30–210% (Winters &amp; Martins, 2004), the marginal economics of exporting are negative from the outset. And when institutional voids are comprehensive, with absent trade finance intermediaries, unreliable contract enforcement, and limited standards infrastructure, firms cannot appropriate the learning and scale benefits that internationalization theory promises.</w:t>
      </w:r>
    </w:p>
    <w:p>
      <w:pPr>
        <w:pStyle w:val="BodyText"/>
      </w:pPr>
      <w:r>
        <w:t xml:space="preserve">This reframes the inverted-U from a universal empirical regularity into a</w:t>
      </w:r>
      <w:r>
        <w:t xml:space="preserve"> </w:t>
      </w:r>
      <w:r>
        <w:rPr>
          <w:iCs/>
          <w:i/>
        </w:rPr>
        <w:t xml:space="preserve">conditional</w:t>
      </w:r>
      <w:r>
        <w:t xml:space="preserve"> </w:t>
      </w:r>
      <w:r>
        <w:t xml:space="preserve">relationship: it holds when and because the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then a special case of a more general theoretical relationship. When institutional conditions cross a structural threshold from</w:t>
      </w:r>
      <w:r>
        <w:t xml:space="preserve"> </w:t>
      </w:r>
      <w:r>
        <w:t xml:space="preserve">“</w:t>
      </w:r>
      <w:r>
        <w:t xml:space="preserve">weaker moderation</w:t>
      </w:r>
      <w:r>
        <w:t xml:space="preserve">”</w:t>
      </w:r>
      <w:r>
        <w:t xml:space="preserve"> </w:t>
      </w:r>
      <w:r>
        <w:t xml:space="preserve">to</w:t>
      </w:r>
      <w:r>
        <w:t xml:space="preserve"> </w:t>
      </w:r>
      <w:r>
        <w:t xml:space="preserve">“</w:t>
      </w:r>
      <w:r>
        <w:t xml:space="preserve">violated prerequisites,</w:t>
      </w:r>
      <w:r>
        <w:t xml:space="preserve">”</w:t>
      </w:r>
      <w:r>
        <w:t xml:space="preserve"> </w:t>
      </w:r>
      <w:r>
        <w:t xml:space="preserve">the sign of the I-P relationship reverses, not merely its magnitude.</w:t>
      </w:r>
    </w:p>
    <w:bookmarkEnd w:id="38"/>
    <w:bookmarkStart w:id="39" w:name="Xbadf487e3d91c7f5e5de16c24aa3b4c984ad28e"/>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where all three structural prerequisites are absent at once, the I-P functional form is not a modified inverted-U but a qualitatively different pattern, namely a monotone negative one. This extends the theoretical vocabulary of IB research beyond</w:t>
      </w:r>
      <w:r>
        <w:t xml:space="preserve"> </w:t>
      </w:r>
      <w:r>
        <w:t xml:space="preserve">“</w:t>
      </w:r>
      <w:r>
        <w:t xml:space="preserve">intensity moderation</w:t>
      </w:r>
      <w:r>
        <w:t xml:space="preserve">”</w:t>
      </w:r>
      <w:r>
        <w:t xml:space="preserve"> </w:t>
      </w:r>
      <w:r>
        <w:t xml:space="preserve">toward</w:t>
      </w:r>
      <w:r>
        <w:t xml:space="preserve"> </w:t>
      </w:r>
      <w:r>
        <w:t xml:space="preserve">“</w:t>
      </w:r>
      <w:r>
        <w:t xml:space="preserve">existence moderation</w:t>
      </w:r>
      <w:r>
        <w:t xml:space="preserve">”</w:t>
      </w:r>
      <w:r>
        <w:t xml:space="preserve"> </w:t>
      </w:r>
      <w:r>
        <w:t xml:space="preserve">of the I-P relationship.</w:t>
      </w:r>
    </w:p>
    <w:p>
      <w:pPr>
        <w:pStyle w:val="BodyText"/>
      </w:pPr>
      <w:r>
        <w:t xml:space="preserve">The finding connects to the broader question of boundary conditions in IB theory (Verbeke &amp; Brugman, 2018; Hennart, 2007). If mainstream I-P theories are derived from samples of economies where the structural prerequisites are broadly satisfied, those theories may be systematically inapplicable to the SIDS context. They would not merely need adjustment; they would represent a qualitatively different theoretical regime. FIP offers a theoretically grounded label for that alternative regime.</w:t>
      </w:r>
    </w:p>
    <w:bookmarkEnd w:id="39"/>
    <w:bookmarkStart w:id="40" w:name="X83134c98a606fe0940406da95e076e069d717cc"/>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including Vietnam, Singapore, China, and multi-country samples, technological capability and digital adoption are statistically significant moderators of the I-P relationship (Goedhuys &amp; Sleuwaegen, 2013; Teece, 2007). Why, then,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FIP operates at a structural, pre-organizational level. A SIDS firm with ISO 9001 certification (high TCI) still faces the same 30–210% trade cost amplifications; a SIDS firm with a functioning website (DAI = 1) still faces absent trade finance institutions. Capabilities that act as powerful moderators within the structural prerequisites framework become ineffective once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w:t>
      </w:r>
      <w:r>
        <w:t xml:space="preserve"> </w:t>
      </w:r>
      <w:r>
        <w:t xml:space="preserve">“</w:t>
      </w:r>
      <w:r>
        <w:t xml:space="preserve">trapped</w:t>
      </w:r>
      <w:r>
        <w:t xml:space="preserve">”</w:t>
      </w:r>
      <w:r>
        <w:t xml:space="preserve"> </w:t>
      </w:r>
      <w:r>
        <w:t xml:space="preserve">inside the firm, unable to translate into performance advantages through international market transactions.</w:t>
      </w:r>
    </w:p>
    <w:p>
      <w:pPr>
        <w:pStyle w:val="BodyText"/>
      </w:pPr>
      <w:r>
        <w:t xml:space="preserve">The positive though non-significant point estimates for TCI_z and DAI_z suggest that capabilities do raise general productivity levels, consistent with their role in the broader literature, yet they cannot modify the negative directionality of the FSTS–performance relationship in the SIDS structural context. This nuance, that capabilities help the level and not the slope, may be a productive direction for future SIDS research.</w:t>
      </w:r>
    </w:p>
    <w:bookmarkEnd w:id="40"/>
    <w:bookmarkStart w:id="41" w:name="Xf8f5a8a03ba0839ca8278bd9312f3d61be61a50"/>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adopted at the Fourth International Conference on SIDS,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without addressing the violated structural prerequisites in parallel, may worsen firm performance at the micro level even while they improve macroeconomic trade balances. The relevant policy question becomes: which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the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such as standards bodies, trade finance intermediaries, and export promotion agencies with genuine capacity, may address the FIP mechanism more directly than generic governance reform. Goedhuys and Sleuwaegen’s (2013) evidence on international certification is instructive here. Their finding that ISO certification improves firm productivity is consistent with the null TCI result reported above if certification’s productivity benefit is conditional on institutions that support standards enforcement and customer recognition, the very conditions absent in the SIDS context.</w:t>
      </w:r>
    </w:p>
    <w:bookmarkEnd w:id="41"/>
    <w:bookmarkStart w:id="42" w:name="limitations"/>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although we pool across multiple country-year waves (2009–2025), few SIDS economies have more than one WBES wave (see Table 1), which limits panel identification of causal effects. The FIP estimate is identified primarily from cross-sectional variation in FSTS within country-year cells. Future work using panel data, where available for Fiji and Papua New Guinea, both of which have two waves, could strengthen causal identification.</w:t>
      </w:r>
    </w:p>
    <w:p>
      <w:pPr>
        <w:pStyle w:val="BodyText"/>
      </w:pPr>
      <w:r>
        <w:t xml:space="preserve">Second,</w:t>
      </w:r>
      <w:r>
        <w:t xml:space="preserve"> </w:t>
      </w:r>
      <w:r>
        <w:rPr>
          <w:bCs/>
          <w:b/>
        </w:rPr>
        <w:t xml:space="preserve">FSTS measurement in thin-export contexts</w:t>
      </w:r>
      <w:r>
        <w:t xml:space="preserve">: with a mean FSTS of 0.060 and only 12.7% exporters, the FSTS distribution is highly right-skewed. Coefficient estimates in M2 may be sensitive to a handful of high-FSTS outliers, so the non-significant quadratic results should be read with caution.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a foundational and static indicator. This is appropriate for the SIDS context given the limited availability of more advanced digital infrastructure indicators in WBES, but it does mean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to arise when three structural prerequisites are absent at once. Other extreme contexts, such as Saharan micro-states, remote highland economies, and post-conflict settings, may exhibit similar patterns. Caribbean SIDS, which are not included in our sample, represent a natural extension context.</w:t>
      </w:r>
    </w:p>
    <w:p>
      <w:r>
        <w:pict>
          <v:rect style="width:0;height:1.5pt" o:hralign="center" o:hrstd="t" o:hr="t"/>
        </w:pict>
      </w:r>
    </w:p>
    <w:bookmarkEnd w:id="42"/>
    <w:bookmarkEnd w:id="43"/>
    <w:bookmarkStart w:id="44" w:name="conclusions"/>
    <w:p>
      <w:pPr>
        <w:pStyle w:val="Heading2"/>
      </w:pPr>
      <w:r>
        <w:t xml:space="preserve">6. Conclusions</w:t>
      </w:r>
    </w:p>
    <w:p>
      <w:pPr>
        <w:pStyle w:val="FirstParagraph"/>
      </w:pPr>
      <w:r>
        <w:t xml:space="preserve">This study introduced the Forced Internationalization Penalty (FIP), the monotone negative effect of internationalization intensity on firm performance when three structural prerequisites of the inverted-U relationship are absent at once: a viable domestic market, manageable trade costs, and functional institutional support. Using WBES data from 1,469 firms across nine Pacific SIDS economies, we find robust support for FIP across four empirical specifications (β = −0.404, p = .032 in the primary country-and-year fixed-effects model; β = −1.236, p &lt; .001 without country fixed effects; β = −0.901, p = .027 in the exporters-only subsample). The quadratic term is not significant, which confirms the monotone negative form with no observable turning point. Technological capability and digital adoption, both significant in mainland Asian contexts, are null in the SIDS environment, consistent with the FIP theoretical mechanism.</w:t>
      </w:r>
    </w:p>
    <w:p>
      <w:pPr>
        <w:pStyle w:val="BodyText"/>
      </w:pPr>
      <w:r>
        <w:t xml:space="preserve">These findings contribute to IB theory in two ways. First, they help reorient the discourse on institutional effects from</w:t>
      </w:r>
      <w:r>
        <w:t xml:space="preserve"> </w:t>
      </w:r>
      <w:r>
        <w:t xml:space="preserve">“</w:t>
      </w:r>
      <w:r>
        <w:t xml:space="preserve">institutional moderation of I-P intensity</w:t>
      </w:r>
      <w:r>
        <w:t xml:space="preserve">”</w:t>
      </w:r>
      <w:r>
        <w:t xml:space="preserve"> </w:t>
      </w:r>
      <w:r>
        <w:t xml:space="preserve">toward</w:t>
      </w:r>
      <w:r>
        <w:t xml:space="preserve"> </w:t>
      </w:r>
      <w:r>
        <w:t xml:space="preserve">“</w:t>
      </w:r>
      <w:r>
        <w:t xml:space="preserve">institutional determination of I-P sign,</w:t>
      </w:r>
      <w:r>
        <w:t xml:space="preserve">”</w:t>
      </w:r>
      <w:r>
        <w:t xml:space="preserve"> </w:t>
      </w:r>
      <w:r>
        <w:t xml:space="preserve">which suggests that the inverted-U may be conditional on structural prerequisites rather than broadly applicable across contexts. Second, they extend the application of</w:t>
      </w:r>
      <w:r>
        <w:t xml:space="preserve"> </w:t>
      </w:r>
      <w:r>
        <w:t xml:space="preserve">“</w:t>
      </w:r>
      <w:r>
        <w:t xml:space="preserve">forced internationalization</w:t>
      </w:r>
      <w:r>
        <w:t xml:space="preserve">”</w:t>
      </w:r>
      <w:r>
        <w:t xml:space="preserve"> </w:t>
      </w:r>
      <w:r>
        <w:t xml:space="preserve">beyond the SME literature into the performance-outcome domain, providing a theoretically defined and empirically grounded construct, FIP, that future research can build upon.</w:t>
      </w:r>
    </w:p>
    <w:p>
      <w:pPr>
        <w:pStyle w:val="BodyText"/>
      </w:pPr>
      <w:r>
        <w:t xml:space="preserve">For the world development policy agenda, FIP suggests that export promotion strategies in SIDS require complementary structural interventions. These should address trade costs, domestic market viability through regional integration, and targeted institutional development, rather than the intensification of export activity on its own.</w:t>
      </w:r>
    </w:p>
    <w:p>
      <w:r>
        <w:pict>
          <v:rect style="width:0;height:1.5pt" o:hralign="center" o:hrstd="t" o:hr="t"/>
        </w:pict>
      </w:r>
    </w:p>
    <w:bookmarkEnd w:id="44"/>
    <w:bookmarkStart w:id="45"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45"/>
    <w:bookmarkStart w:id="49" w:name="appendix-a-tables"/>
    <w:p>
      <w:pPr>
        <w:pStyle w:val="Heading2"/>
      </w:pPr>
      <w:r>
        <w:t xml:space="preserve">Appendix A: Tables</w:t>
      </w:r>
    </w:p>
    <w:bookmarkStart w:id="46" w:name="Xd18a7fdbbe8955432f108664659551dd8892246"/>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Timor-Leste</w:t>
            </w:r>
          </w:p>
        </w:tc>
        <w:tc>
          <w:tcPr/>
          <w:p>
            <w:pPr>
              <w:pStyle w:val="Compact"/>
              <w:jc w:val="left"/>
            </w:pPr>
            <w:r>
              <w:t xml:space="preserve">393</w:t>
            </w:r>
          </w:p>
        </w:tc>
        <w:tc>
          <w:tcPr/>
          <w:p>
            <w:pPr>
              <w:pStyle w:val="Compact"/>
              <w:jc w:val="left"/>
            </w:pPr>
            <w:r>
              <w:t xml:space="preserve">53</w:t>
            </w:r>
          </w:p>
        </w:tc>
        <w:tc>
          <w:tcPr/>
          <w:p>
            <w:pPr>
              <w:pStyle w:val="Compact"/>
              <w:jc w:val="left"/>
            </w:pPr>
            <w:r>
              <w:t xml:space="preserve">13.5%</w:t>
            </w:r>
          </w:p>
        </w:tc>
        <w:tc>
          <w:tcPr/>
          <w:p>
            <w:pPr>
              <w:pStyle w:val="Compact"/>
              <w:jc w:val="left"/>
            </w:pPr>
            <w:r>
              <w:t xml:space="preserve">0.104</w:t>
            </w:r>
          </w:p>
        </w:tc>
        <w:tc>
          <w:tcPr/>
          <w:p>
            <w:pPr>
              <w:pStyle w:val="Compact"/>
              <w:jc w:val="left"/>
            </w:pPr>
            <w:r>
              <w:t xml:space="preserve">2009–2021</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2009–2023</w:t>
            </w:r>
          </w:p>
        </w:tc>
      </w:tr>
      <w:tr>
        <w:tc>
          <w:tcPr/>
          <w:p>
            <w:pPr>
              <w:pStyle w:val="Compact"/>
              <w:jc w:val="left"/>
            </w:pPr>
            <w:r>
              <w:t xml:space="preserve">Comoros</w:t>
            </w:r>
          </w:p>
        </w:tc>
        <w:tc>
          <w:tcPr/>
          <w:p>
            <w:pPr>
              <w:pStyle w:val="Compact"/>
              <w:jc w:val="left"/>
            </w:pPr>
            <w:r>
              <w:t xml:space="preserve">117</w:t>
            </w:r>
          </w:p>
        </w:tc>
        <w:tc>
          <w:tcPr/>
          <w:p>
            <w:pPr>
              <w:pStyle w:val="Compact"/>
              <w:jc w:val="left"/>
            </w:pPr>
            <w:r>
              <w:t xml:space="preserve">2</w:t>
            </w:r>
          </w:p>
        </w:tc>
        <w:tc>
          <w:tcPr/>
          <w:p>
            <w:pPr>
              <w:pStyle w:val="Compact"/>
              <w:jc w:val="left"/>
            </w:pPr>
            <w:r>
              <w:t xml:space="preserve">1.7%</w:t>
            </w:r>
          </w:p>
        </w:tc>
        <w:tc>
          <w:tcPr/>
          <w:p>
            <w:pPr>
              <w:pStyle w:val="Compact"/>
              <w:jc w:val="left"/>
            </w:pPr>
            <w:r>
              <w:t xml:space="preserve">0.011</w:t>
            </w:r>
          </w:p>
        </w:tc>
        <w:tc>
          <w:tcPr/>
          <w:p>
            <w:pPr>
              <w:pStyle w:val="Compact"/>
              <w:jc w:val="left"/>
            </w:pPr>
            <w:r>
              <w:t xml:space="preserve">2025</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46"/>
    <w:bookmarkStart w:id="47" w:name="Xc02e42e5e85356a7e9f67ce8450f39d43a89fec"/>
    <w:p>
      <w:pPr>
        <w:pStyle w:val="Heading3"/>
      </w:pPr>
      <w:r>
        <w:t xml:space="preserve">Table 2. Regression Results: Internationalization Intensity and Labor Productivity</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 .001; ** p &lt; .01; * p &lt; .05; . p &lt; .10.</w:t>
      </w:r>
    </w:p>
    <w:p>
      <w:pPr>
        <w:pStyle w:val="BodyText"/>
      </w:pPr>
      <w:r>
        <w:rPr>
          <w:iCs/>
          <w:i/>
        </w:rPr>
        <w:t xml:space="preserve">Forced Internationalization Penalty (FIP): Confirmed — β(FSTS_c) = −0.404, p = .032 (M1).</w:t>
      </w:r>
    </w:p>
    <w:bookmarkEnd w:id="47"/>
    <w:bookmarkStart w:id="48" w:name="X88215d8362bdd28b5211c3a1f81522f9e049dc2"/>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(β = −0.901) addresses adverse selection concern: among active exporters, intensifying exports further worsens performance.</w:t>
      </w:r>
    </w:p>
    <w:bookmarkEnd w:id="48"/>
    <w:bookmarkEnd w:id="49"/>
    <w:bookmarkEnd w:id="5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2026-05-26T15:21:54Z</dcterms:created>
  <dcterms:modified xsi:type="dcterms:W3CDTF">2026-05-26T15:21:54Z</dcterms:modified>
</cp:coreProperties>
</file>

<file path=docProps/custom.xml><?xml version="1.0" encoding="utf-8"?>
<Properties xmlns="http://schemas.openxmlformats.org/officeDocument/2006/custom-properties" xmlns:vt="http://schemas.openxmlformats.org/officeDocument/2006/docPropsVTypes"/>
</file>