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hoạt động như một</w:t>
      </w:r>
      <w:r>
        <w:t xml:space="preserve"> </w:t>
      </w:r>
      <w:r>
        <w:rPr>
          <w:bCs/>
          <w:b/>
        </w:rPr>
        <w:t xml:space="preserve">hằng số sinh tồn (survival constant)</w:t>
      </w:r>
      <w:r>
        <w:t xml:space="preserve">: nó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Cơ chế nằm dưới độ bền này là sự</w:t>
      </w:r>
      <w:r>
        <w:t xml:space="preserve"> </w:t>
      </w:r>
      <w:r>
        <w:rPr>
          <w:bCs/>
          <w:b/>
        </w:rPr>
        <w:t xml:space="preserve">quá nhúng cấu trúc (structural over-embeddedness)</w:t>
      </w:r>
      <w:r>
        <w:t xml:space="preserve"> </w:t>
      </w:r>
      <w:r>
        <w:t xml:space="preserve">kết hợp với</w:t>
      </w:r>
      <w:r>
        <w:t xml:space="preserve"> </w:t>
      </w:r>
      <w:r>
        <w:rPr>
          <w:bCs/>
          <w:b/>
        </w:rPr>
        <w:t xml:space="preserve">ràng buộc vốn lưu động (working-capital constraints)</w:t>
      </w:r>
      <w:r>
        <w:t xml:space="preserve">: khi vượt ngưỡng ~48%, doanh nghiệp lệ thuộc quá mức vào khách hàng và chuỗi giá trị quốc tế, đồng thời chịu áp lực quay vòng vốn lưu động nghiêm trọng từ các điều khoản thanh toán xuyên biên giới (thời gian thu hồi nợ kéo dài, chi phí logistics quốc tế, rủi ro tỷ giá — Manova, 2013), khiến năng suất xói mòn bất kể môi trường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2026-05-26T15:20:46Z</dcterms:created>
  <dcterms:modified xsi:type="dcterms:W3CDTF">2026-05-26T15:20:46Z</dcterms:modified>
</cp:coreProperties>
</file>

<file path=docProps/custom.xml><?xml version="1.0" encoding="utf-8"?>
<Properties xmlns="http://schemas.openxmlformats.org/officeDocument/2006/custom-properties" xmlns:vt="http://schemas.openxmlformats.org/officeDocument/2006/docPropsVTypes"/>
</file>