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I²=62.4% (L2 within=54.1%, L3 between=8.4%). ICRV Q_M(4)=17.35 (p=.002) omnibus có ý nghĩa (gradient E1a/E1b không đơn điệu);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International Business Review</w:t>
      </w:r>
      <w:r>
        <w:t xml:space="preserve"> </w:t>
      </w:r>
      <w:r>
        <w:t xml:space="preserve">hoặc</w:t>
      </w:r>
      <w:r>
        <w:t xml:space="preserve"> </w:t>
      </w:r>
      <w:r>
        <w:rPr>
          <w:iCs/>
          <w:i/>
        </w:rPr>
        <w:t xml:space="preserve">Journal of World Business</w:t>
      </w:r>
      <w:r>
        <w:t xml:space="preserve"> </w:t>
      </w:r>
      <w:r>
        <w:t xml:space="preserve">(sau khi hoàn thành WoS/Scopus formal search + phân tích</w:t>
      </w:r>
      <w:r>
        <w:t xml:space="preserve"> </w:t>
      </w:r>
      <w:r>
        <w:rPr>
          <w:rStyle w:val="VerbatimChar"/>
        </w:rPr>
        <w:t xml:space="preserve">metafor</w:t>
      </w:r>
      <w:r>
        <w:t xml:space="preserve">).</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trong châu Á và Pacific;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độ tin cậy liên coder Cohen’s</w:t>
      </w:r>
      <w:r>
        <w:t xml:space="preserve"> </w:t>
      </w:r>
      <m:oMath>
        <m:r>
          <m:t>κ</m:t>
        </m:r>
        <m:r>
          <m:rPr>
            <m:sty m:val="p"/>
          </m:rPr>
          <m:t>≥</m:t>
        </m:r>
        <m:r>
          <m:t>0.70</m:t>
        </m:r>
      </m:oMath>
      <w:r>
        <w:t xml:space="preserve"> </w:t>
      </w:r>
      <w:r>
        <w:t xml:space="preserve">trên 20% mẫu double-coded.</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62.4</m:t>
        </m:r>
        <m:r>
          <m:rPr>
            <m:sty m:val="p"/>
          </m:rPr>
          <m:t>%</m:t>
        </m:r>
      </m:oMath>
      <w:r>
        <w:t xml:space="preserve">) chủ yếu nằm ở trong-nghiên-cứu L2 (54.1%) hơn là giữa-nghiên-cứu L3 (8.4%),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(các regime khác biệt), nhưng không có gradient đơn điệu E1a/E1b do</w:t>
      </w:r>
      <w:r>
        <w:t xml:space="preserve"> </w:t>
      </w:r>
      <m:oMath>
        <m:sSub>
          <m:e>
            <m:r>
              <m:t>Q</m:t>
            </m:r>
          </m:e>
          <m:sub>
            <m:r>
              <m:t>M</m:t>
            </m:r>
          </m:sub>
        </m:sSub>
      </m:oMath>
      <w:r>
        <w:t xml:space="preserve"> </w:t>
      </w:r>
      <w:r>
        <w:t xml:space="preserve">bị chi phối bởi ô Frontier nhỏ (k=3).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6-regime đầu tiên cho châu Á + Pacific, DPL phase testing đầu tiên systematic. Các moderator số và thời gian cấp quốc gia không có ý nghĩa (cDAI, DPL) được diễn giải qua</w:t>
      </w:r>
      <w:r>
        <w:t xml:space="preserve"> </w:t>
      </w:r>
      <w:r>
        <w:rPr>
          <w:bCs/>
          <w:b/>
        </w:rPr>
        <w:t xml:space="preserve">Thuyết Bất tương thích Khung năng lực (Capability–Context Mismatch)</w:t>
      </w:r>
      <w:r>
        <w:t xml:space="preserve">: bối cảnh số vĩ mô là vô hiệu đối với quan hệ I→P nếu không đi kèm năng lực số ở cấp doanh nghiệp (vi mô) — môi trường vĩ mô không thể thay thế cho năng lực vi mô vốn là thứ thực sự chuyển hóa nó.</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 Quan trọng hơn, P6 nâng một phát hiện vượt ra ngoài ba khoảng trống đó lên hàng tuyên bố trung tâm: hiệu chỉnh trim-and-fill kéo hiệu ứng tổng hợp từ</w:t>
      </w:r>
      <w:r>
        <w:t xml:space="preserve"> </w:t>
      </w:r>
      <m:oMath>
        <m:r>
          <m:t>r</m:t>
        </m:r>
        <m:r>
          <m:rPr>
            <m:sty m:val="p"/>
          </m:rPr>
          <m:t>=</m:t>
        </m:r>
        <m:r>
          <m:t>0.074</m:t>
        </m:r>
      </m:oMath>
      <w:r>
        <w:t xml:space="preserve"> </w:t>
      </w:r>
      <w:r>
        <w:t xml:space="preserve">xuống</w:t>
      </w:r>
      <w:r>
        <w:t xml:space="preserve"> </w:t>
      </w:r>
      <m:oMath>
        <m:r>
          <m:t>r</m:t>
        </m:r>
        <m:r>
          <m:rPr>
            <m:sty m:val="p"/>
          </m:rPr>
          <m:t>=</m:t>
        </m:r>
        <m:r>
          <m:t>0.035</m:t>
        </m:r>
      </m:oMath>
      <w:r>
        <w:t xml:space="preserve"> </w:t>
      </w:r>
      <w:r>
        <w:t xml:space="preserve">— mức suy giảm khoảng</w:t>
      </w:r>
      <w:r>
        <w:t xml:space="preserve"> </w:t>
      </w:r>
      <w:r>
        <w:rPr>
          <w:bCs/>
          <w:b/>
        </w:rPr>
        <w:t xml:space="preserve">53%</w:t>
      </w:r>
      <w:r>
        <w:t xml:space="preserve"> </w:t>
      </w:r>
      <w:r>
        <w:t xml:space="preserve">— hàm ý rằng bốn thập kỷ bằng chứng I→P có thể đã bị thổi phồng đáng kể bởi thiên lệch công bố. Đây là một ước lượng hiệu chỉnh, được củng cố bởi kiểm định Begg có ý nghĩa (</w:t>
      </w:r>
      <m:oMath>
        <m:r>
          <m:t>τ</m:t>
        </m:r>
        <m:r>
          <m:rPr>
            <m:sty m:val="p"/>
          </m:rPr>
          <m:t>=</m:t>
        </m:r>
        <m:r>
          <m:rPr>
            <m:sty m:val="p"/>
          </m:rPr>
          <m:t>−</m:t>
        </m:r>
        <m:r>
          <m:t>0.134</m:t>
        </m:r>
      </m:oMath>
      <w:r>
        <w:t xml:space="preserve">,</w:t>
      </w:r>
      <w:r>
        <w:t xml:space="preserve"> </w:t>
      </w:r>
      <m:oMath>
        <m:r>
          <m:t>p</m:t>
        </m:r>
        <m:r>
          <m:rPr>
            <m:sty m:val="p"/>
          </m:rPr>
          <m:t>&lt;</m:t>
        </m:r>
        <m:r>
          <m:t>.001</m:t>
        </m:r>
      </m:oMath>
      <w:r>
        <w:t xml:space="preserve">); do kiểm định Egger chỉ ở mức biên (</w:t>
      </w:r>
      <m:oMath>
        <m:r>
          <m:t>p</m:t>
        </m:r>
        <m:r>
          <m:rPr>
            <m:sty m:val="p"/>
          </m:rPr>
          <m:t>=</m:t>
        </m:r>
        <m:r>
          <m:t>.057</m:t>
        </m:r>
      </m:oMath>
      <w:r>
        <w:t xml:space="preserve">), luận án trình bày con số ~53% như một tín hiệu định hướng mạnh chứ không phải một độ lớn đã chốt.</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 trong khu vực châu Á và Pacific</w:t>
      </w:r>
      <w:r>
        <w:t xml:space="preserve"> </w:t>
      </w:r>
      <w:r>
        <w:t xml:space="preserve">chưa được mã hóa một cách hệ thống. Marano et al. (2016) phân tách home country institutions thành sáu nhóm tổng quát toàn cầu, nhưng chưa có meta nào áp dụng phân loại ICRV 6-regime (Institutional Context Regime Variation) cho riêng châu Á và Pacific — khu vực có phổ thể chế rộng nhất thế giới,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60c7c592f499a3ec865d8ca638b499335c825b2"/>
    <w:p>
      <w:pPr>
        <w:pStyle w:val="Heading3"/>
      </w:pPr>
      <w:r>
        <w:t xml:space="preserve">1.4 Gap 2: ICRV 6-regime chưa áp dụng cho châu Á + Pacific</w:t>
      </w:r>
    </w:p>
    <w:p>
      <w:pPr>
        <w:pStyle w:val="FirstParagraph"/>
      </w:pPr>
      <w:r>
        <w:rPr>
          <w:bCs/>
          <w:b/>
        </w:rPr>
        <w:t xml:space="preserve">Định nghĩa</w:t>
      </w:r>
      <w:r>
        <w:t xml:space="preserve">: ICRV 6-regime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sáu mã: Regime I (Advanced-Innovation,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Frontier (FR, WGI</w:t>
      </w:r>
      <w:r>
        <w:t xml:space="preserve"> </w:t>
      </w:r>
      <m:oMath>
        <m:r>
          <m:rPr>
            <m:sty m:val="p"/>
          </m:rPr>
          <m:t>&lt;</m:t>
        </m:r>
        <m:r>
          <m:rPr>
            <m:sty m:val="p"/>
          </m:rPr>
          <m:t>−</m:t>
        </m:r>
        <m:r>
          <m:t>0.50</m:t>
        </m:r>
      </m:oMath>
      <w:r>
        <w:t xml:space="preserve">), SIDS (Quốc đảo Thái Bình Dương — tương ứng Nhóm VI trong khung ICRV của luận án, boundary case), và Mixed/đa quốc gia (MX, nghiên cứu trải</w:t>
      </w:r>
      <w:r>
        <w:t xml:space="preserve"> </w:t>
      </w:r>
      <m:oMath>
        <m:r>
          <m:rPr>
            <m:sty m:val="p"/>
          </m:rPr>
          <m:t>≥</m:t>
        </m:r>
        <m:r>
          <m:t>2</m:t>
        </m:r>
      </m:oMath>
      <w:r>
        <w:t xml:space="preserve"> </w:t>
      </w:r>
      <w:r>
        <w:t xml:space="preserve">regime). Trong corpus hiện tại, ô SIDS không có nghiên cứu đạt chuẩn (</w:t>
      </w:r>
      <m:oMath>
        <m:r>
          <m:t>k</m:t>
        </m:r>
        <m:r>
          <m:rPr>
            <m:sty m:val="p"/>
          </m:rPr>
          <m:t>=</m:t>
        </m:r>
        <m:r>
          <m:t>0</m:t>
        </m:r>
      </m:oMath>
      <w:r>
        <w:t xml:space="preserve">), nên kiểm định thực nghiệm chạy trên 5 ô có dữ liệu (xem Mục 4.3).</w:t>
      </w:r>
    </w:p>
    <w:p>
      <w:pPr>
        <w:pStyle w:val="BodyText"/>
      </w:pPr>
      <w:r>
        <w:rPr>
          <w:bCs/>
          <w:b/>
        </w:rPr>
        <w:t xml:space="preserve">Đối chiếu đánh số với hệ chuẩn ICRV 6-regime của luận án</w:t>
      </w:r>
      <w:r>
        <w:t xml:space="preserve">: do corpus meta toàn cầu gộp một số chế độ, P6 dùng đánh số gọn. Bảng đối chiếu: P6 Nhóm I ≡ Nhóm I luận án (Advanced-Innovation); P6 Nhóm II (Upper-middle) ≡ Nhóm III luận án; P6 Nhóm III (Emerging) ≡ Nhóm IV luận án; FR (Frontier) ≡ Nhóm V; SIDS ≡ Nhóm VI. Nhóm II luận án (Advanced Resource-Driven/GCC) không tách riêng trong corpus P6 (các nghiên cứu GCC gộp vào MX hoặc không đủ chuẩn PICO); MX là mã đa quốc gia mang tính phương pháp, không có tương ứng trong hệ I–VI.</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6-regime cho khu vực châu Á và Pacific — nơi sự dị biệt thể chế lớn nhất. Doanh nghiệp từ Singapore (Regime I) vận hành theo logic hoàn toàn khác doanh nghiệp từ Afghanistan (Frontier) dù cùng khu vực địa lý.</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 (3) Inter-coder reliability với Cohen’s</w:t>
      </w:r>
      <w:r>
        <w:t xml:space="preserve"> </w:t>
      </w:r>
      <m:oMath>
        <m:r>
          <m:t>κ</m:t>
        </m:r>
        <m:r>
          <m:rPr>
            <m:sty m:val="p"/>
          </m:rPr>
          <m:t>≥</m:t>
        </m:r>
        <m:r>
          <m:t>0.7</m:t>
        </m:r>
      </m:oMath>
      <w:r>
        <w:t xml:space="preserve"> </w:t>
      </w:r>
      <w:r>
        <w:t xml:space="preserve">trên 20% double-coded subset.</w:t>
      </w:r>
    </w:p>
    <w:p>
      <w:pPr>
        <w:pStyle w:val="BodyText"/>
      </w:pPr>
      <w:r>
        <w:rPr>
          <w:bCs/>
          <w:b/>
        </w:rPr>
        <w:t xml:space="preserve">Theoretical</w:t>
      </w:r>
      <w:r>
        <w:t xml:space="preserve">: (4) Kiểm định ICRV 6-regime đầu tiên cho khu vực châu Á + Pacific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lớn nhất từ trước đến nay trong literature I→P cho khu vực châu Á và Pacific; (8) Subgroup analysis theo khung ICRV 6-regime — với 5 ô có dữ liệu (ô SIDS/Nhóm VI không có nghiên cứu đạt chuẩn) — khu vực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6-regime đặc thù cho châu Á và Pacific.</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được thiết kế đặc thù cho châu Á + Pacific,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mã)</w:t>
            </w:r>
          </w:p>
        </w:tc>
        <w:tc>
          <w:tcPr/>
          <w:p>
            <w:pPr>
              <w:pStyle w:val="Compact"/>
              <w:jc w:val="left"/>
            </w:pPr>
            <w:r>
              <w:t xml:space="preserve">I/II/III/FR/SIDS/MX theo WGI RoL với thresholds</w:t>
            </w:r>
            <w:r>
              <w:t xml:space="preserve"> </w:t>
            </w:r>
            <m:oMath>
              <m:r>
                <m:rPr>
                  <m:sty m:val="p"/>
                </m:rPr>
                <m:t>+</m:t>
              </m:r>
              <m:r>
                <m:t>0.80</m:t>
              </m:r>
              <m:r>
                <m:rPr>
                  <m:sty m:val="p"/>
                </m:rPr>
                <m:t>/</m:t>
              </m:r>
              <m:r>
                <m:rPr>
                  <m:sty m:val="p"/>
                </m:rPr>
                <m:t>−</m:t>
              </m:r>
              <m:r>
                <m:t>0.50</m:t>
              </m:r>
            </m:oMath>
            <w:r>
              <w:t xml:space="preserve"> </w:t>
            </w:r>
            <w:r>
              <w:t xml:space="preserve">(I=Advanced-Innovation, II=Upper-middle, III=Emerging, FR=Frontier, SIDS=Quốc đảo TBD ≡ Nhóm VI luận án, MX=đa quốc gia ≥2 regime); ô SIDS có</w:t>
            </w:r>
            <w:r>
              <w:t xml:space="preserve"> </w:t>
            </w:r>
            <m:oMath>
              <m:r>
                <m:t>k</m:t>
              </m:r>
              <m:r>
                <m:rPr>
                  <m:sty m:val="p"/>
                </m:rPr>
                <m:t>=</m:t>
              </m:r>
              <m:r>
                <m:t>0</m:t>
              </m:r>
            </m:oMath>
            <w:r>
              <w:t xml:space="preserve"> </w:t>
            </w:r>
            <w:r>
              <w:t xml:space="preserve">trong corpus nên 5 ô được kiểm định (</w:t>
            </w:r>
            <m:oMath>
              <m:r>
                <m:t>d</m:t>
              </m:r>
              <m:r>
                <m:t>f</m:t>
              </m:r>
              <m:r>
                <m:rPr>
                  <m:sty m:val="p"/>
                </m:rPr>
                <m:t>=</m:t>
              </m:r>
              <m:r>
                <m:t>4</m:t>
              </m:r>
            </m:oMath>
            <w:r>
              <w:t xml:space="preserve">)</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Inter-coder reliability</w:t>
      </w:r>
      <w:r>
        <w:t xml:space="preserve">: Double-code 20% sample (≈26 studies) với coder thứ hai (RA hoặc peer). Tính Cohen’s</w:t>
      </w:r>
      <w:r>
        <w:t xml:space="preserve"> </w:t>
      </w:r>
      <m:oMath>
        <m:r>
          <m:t>κ</m:t>
        </m:r>
      </m:oMath>
      <w:r>
        <w:t xml:space="preserve"> </w:t>
      </w:r>
      <w:r>
        <w:t xml:space="preserve">riêng cho ICRV, cDAI, DPL. Target</w:t>
      </w:r>
      <w:r>
        <w:t xml:space="preserve"> </w:t>
      </w:r>
      <m:oMath>
        <m:r>
          <m:t>κ</m:t>
        </m:r>
        <m:r>
          <m:rPr>
            <m:sty m:val="p"/>
          </m:rPr>
          <m:t>≥</m:t>
        </m:r>
        <m:r>
          <m:t>0.70</m:t>
        </m:r>
      </m:oMath>
      <w:r>
        <w:t xml:space="preserve">. Resolve disagreements qua discussion; document trong Appendix C.</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inter-coder-reliability"/>
    <w:p>
      <w:pPr>
        <w:pStyle w:val="Heading3"/>
      </w:pPr>
      <w:r>
        <w:t xml:space="preserve">3.7 Inter-coder reliability</w:t>
      </w:r>
    </w:p>
    <w:p>
      <w:pPr>
        <w:pStyle w:val="FirstParagraph"/>
      </w:pPr>
      <w:r>
        <w:rPr>
          <w:bCs/>
          <w:b/>
        </w:rPr>
        <w:t xml:space="preserve">Protocol</w:t>
      </w:r>
      <w:r>
        <w:t xml:space="preserve">: Coder 1 (NCS) code tất cả 234 studies. Coder 2 (RA hoặc peer) double-code ngẫu nhiên 47 studies (20%). Tính Cohen’s</w:t>
      </w:r>
      <w:r>
        <w:t xml:space="preserve"> </w:t>
      </w:r>
      <m:oMath>
        <m:r>
          <m:t>κ</m:t>
        </m:r>
      </m:oMath>
      <w:r>
        <w:t xml:space="preserve"> </w:t>
      </w:r>
      <w:r>
        <w:t xml:space="preserve">riêng cho: (a) ICRV regime (5 nhóm), (b) cDAI quartile (3 nhóm), (c) DPL phase (3 nhóm).</w:t>
      </w:r>
    </w:p>
    <w:p>
      <w:pPr>
        <w:pStyle w:val="BodyText"/>
      </w:pPr>
      <w:r>
        <w:rPr>
          <w:bCs/>
          <w:b/>
        </w:rPr>
        <w:t xml:space="preserve">Target</w:t>
      </w:r>
      <w:r>
        <w:t xml:space="preserve">:</w:t>
      </w:r>
      <w:r>
        <w:t xml:space="preserve"> </w:t>
      </w:r>
      <m:oMath>
        <m:r>
          <m:t>κ</m:t>
        </m:r>
        <m:r>
          <m:rPr>
            <m:sty m:val="p"/>
          </m:rPr>
          <m:t>≥</m:t>
        </m:r>
        <m:r>
          <m:t>0.70</m:t>
        </m:r>
      </m:oMath>
      <w:r>
        <w:t xml:space="preserve"> </w:t>
      </w:r>
      <w:r>
        <w:t xml:space="preserve">cho cả ba moderator. Nếu</w:t>
      </w:r>
      <w:r>
        <w:t xml:space="preserve"> </w:t>
      </w:r>
      <m:oMath>
        <m:r>
          <m:t>κ</m:t>
        </m:r>
        <m:r>
          <m:rPr>
            <m:sty m:val="p"/>
          </m:rPr>
          <m:t>&lt;</m:t>
        </m:r>
        <m:r>
          <m:t>0.70</m:t>
        </m:r>
      </m:oMath>
      <w:r>
        <w:t xml:space="preserve">: (i) thảo luận để resolve disagreements, (ii) refine coding protocol, (iii) double-code thêm 20 studies, (iv) re-calculate.</w:t>
      </w:r>
    </w:p>
    <w:p>
      <w:pPr>
        <w:pStyle w:val="BodyText"/>
      </w:pPr>
      <w:r>
        <w:rPr>
          <w:bCs/>
          <w:b/>
        </w:rPr>
        <w:t xml:space="preserve">Ngưỡng diễn giải</w:t>
      </w:r>
      <w:r>
        <w:t xml:space="preserve">:</w:t>
      </w:r>
      <w:r>
        <w:t xml:space="preserve"> </w:t>
      </w:r>
      <m:oMath>
        <m:r>
          <m:t>κ</m:t>
        </m:r>
        <m:r>
          <m:rPr>
            <m:sty m:val="p"/>
          </m:rPr>
          <m:t>=</m:t>
        </m:r>
        <m:r>
          <m:t>0.61</m:t>
        </m:r>
        <m:r>
          <m:rPr>
            <m:sty m:val="p"/>
          </m:rPr>
          <m:t>−</m:t>
        </m:r>
        <m:r>
          <m:t>0.80</m:t>
        </m:r>
      </m:oMath>
      <w:r>
        <w:t xml:space="preserve"> </w:t>
      </w:r>
      <w:r>
        <w:t xml:space="preserve">(substantial),</w:t>
      </w:r>
      <w:r>
        <w:t xml:space="preserve"> </w:t>
      </w:r>
      <m:oMath>
        <m:r>
          <m:t>κ</m:t>
        </m:r>
        <m:r>
          <m:rPr>
            <m:sty m:val="p"/>
          </m:rPr>
          <m:t>&gt;</m:t>
        </m:r>
        <m:r>
          <m:t>0.80</m:t>
        </m:r>
      </m:oMath>
      <w:r>
        <w:t xml:space="preserve"> </w:t>
      </w:r>
      <w:r>
        <w:t xml:space="preserve">(almost perfect) — Landis &amp; Koch (1977).</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62.4</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54.1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8.4</m:t>
        </m:r>
        <m:r>
          <m:rPr>
            <m:sty m:val="p"/>
          </m:rPr>
          <m:t>%</m:t>
        </m:r>
      </m:oMath>
      <w:r>
        <w:t xml:space="preserve"> </w:t>
      </w:r>
      <w:r>
        <w:t xml:space="preserve">(Level 3, between-study).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X632aac8ae1c7b0d2996d59f418a032b9d86528b"/>
    <w:p>
      <w:pPr>
        <w:pStyle w:val="Heading3"/>
      </w:pPr>
      <w:r>
        <w:t xml:space="preserve">4.3 Phân tích moderator: ICRV regime (5 ô có dữ liệu)</w:t>
      </w:r>
    </w:p>
    <w:p>
      <w:pPr>
        <w:pStyle w:val="FirstParagraph"/>
      </w:pPr>
      <w:r>
        <w:rPr>
          <w:bCs/>
          <w:b/>
        </w:rPr>
        <w:t xml:space="preserve">Phương pháp</w:t>
      </w:r>
      <w:r>
        <w:t xml:space="preserve">: Subgroup analysis cho 5 ô ICRV regime có dữ liệu (ô SIDS/Nhóm VI rỗng,</w:t>
      </w:r>
      <w:r>
        <w:t xml:space="preserve"> </w:t>
      </w:r>
      <m:oMath>
        <m:r>
          <m:t>k</m:t>
        </m:r>
        <m:r>
          <m:rPr>
            <m:sty m:val="p"/>
          </m:rPr>
          <m:t>=</m:t>
        </m:r>
        <m:r>
          <m:t>0</m:t>
        </m:r>
      </m:oMath>
      <w:r>
        <w:t xml:space="preserve">) trong khung 6 mã,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trên 5 ô ICRV có dữ liệu (trong khung 6 mã; ô SIDS/Nhóm VI rỗng):</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(xác nhận rằng hiệu ứng I→P khác biệt giữa các regime thể chế), nhưng sự khác biệt KHÔNG hình thành một gradient đơn điệu theo chiều kỳ vọng E1a/E1b — phần lớn</w:t>
      </w:r>
      <w:r>
        <w:t xml:space="preserve"> </w:t>
      </w:r>
      <m:oMath>
        <m:sSub>
          <m:e>
            <m:r>
              <m:t>Q</m:t>
            </m:r>
          </m:e>
          <m:sub>
            <m:r>
              <m:t>M</m:t>
            </m:r>
          </m:sub>
        </m:sSub>
      </m:oMath>
      <w:r>
        <w:t xml:space="preserve"> </w:t>
      </w:r>
      <w:r>
        <w:t xml:space="preserve">do ô Frontier nhỏ, hiệu ứng cao tạo ra:</w:t>
      </w:r>
    </w:p>
    <w:p>
      <w:pPr>
        <w:pStyle w:val="BodyText"/>
      </w:pPr>
      <w:r>
        <w:rPr>
          <w:bCs/>
          <w:b/>
        </w:rPr>
        <w:t xml:space="preserve">Bảng 4.2 — Kết quả ICRV regime subgroup, 5 ô có dữ liệu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Hm2 chỉ</w:t>
      </w:r>
      <w:r>
        <w:t xml:space="preserve"> </w:t>
      </w:r>
      <w:r>
        <w:t xml:space="preserve">“</w:t>
      </w:r>
      <w:r>
        <w:t xml:space="preserve">partially supported</w:t>
      </w:r>
      <w:r>
        <w:t xml:space="preserve">”</w:t>
      </w:r>
      <w:r>
        <w:t xml:space="preserve"> </w:t>
      </w:r>
      <w:r>
        <w:t xml:space="preserve">do FR anomaly. SIDS không có đủ effect sizes trong pool hiện tại để phân tích subgroup riêng. Đối chiếu hệ chuẩn luận án: P6 II ≡ luận án III, P6 III ≡ luận án IV, FR ≡ V, SIDS ≡ VI (xem Mục 1.4).</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w:t>
      </w:r>
      <m:oMath>
        <m:sSub>
          <m:e>
            <m:r>
              <m:t>Q</m:t>
            </m:r>
          </m:e>
          <m:sub>
            <m:r>
              <m:t>M</m:t>
            </m:r>
          </m:sub>
        </m:sSub>
        <m:r>
          <m:rPr>
            <m:sty m:val="p"/>
          </m:rPr>
          <m:t>=</m:t>
        </m:r>
        <m:r>
          <m:t>17.35</m:t>
        </m:r>
      </m:oMath>
      <w:r>
        <w:t xml:space="preserve">,</w:t>
      </w:r>
      <w:r>
        <w:t xml:space="preserve"> </w:t>
      </w:r>
      <m:oMath>
        <m:r>
          <m:t>p</m:t>
        </m:r>
        <m:r>
          <m:rPr>
            <m:sty m:val="p"/>
          </m:rPr>
          <m:t>=</m:t>
        </m:r>
        <m:r>
          <m:t>.002</m:t>
        </m:r>
      </m:oMath>
      <w:r>
        <w:t xml:space="preserve">; Hm2 ở khía cạnh</w:t>
      </w:r>
      <w:r>
        <w:t xml:space="preserve"> </w:t>
      </w:r>
      <w:r>
        <w:t xml:space="preserve">“</w:t>
      </w:r>
      <w:r>
        <w:t xml:space="preserve">các regime khác biệt</w:t>
      </w:r>
      <w:r>
        <w:t xml:space="preserve">”</w:t>
      </w:r>
      <w:r>
        <w:t xml:space="preserve"> </w:t>
      </w:r>
      <w:r>
        <w:t xml:space="preserve">được ủng hộ), nhưng KHÔNG hình thành gradient đơn điệu — FR anomaly (k=3) là nguồn chính của</w:t>
      </w:r>
      <w:r>
        <w:t xml:space="preserve"> </w:t>
      </w:r>
      <m:oMath>
        <m:sSub>
          <m:e>
            <m:r>
              <m:t>Q</m:t>
            </m:r>
          </m:e>
          <m:sub>
            <m:r>
              <m:t>M</m:t>
            </m:r>
          </m:sub>
        </m:sSub>
      </m:oMath>
      <w:r>
        <w:t xml:space="preserve">, nên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54.1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8.4</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nhưng không đơn điệu</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thống kê — các regime thể chế khác biệt — nhưng FR anomaly (k=3) là driver chính, nên không có gradient ICRV đơn điệu từ data thực tế;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là yếu tố quan trọng (kiểm định ICRV omnibus có ý nghĩa, p=.002)</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6-regime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62.4</m:t>
        </m:r>
        <m:r>
          <m:rPr>
            <m:sty m:val="p"/>
          </m:rPr>
          <m:t>%</m:t>
        </m:r>
      </m:oMath>
      <w:r>
        <w:t xml:space="preserve"> </w:t>
      </w:r>
      <w:r>
        <w:t xml:space="preserve">chủ yếu nằm ở within-study variance (Level 2, 54.1%) hơn là between-study (Level 3, 8.4%),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(Q_M=17.35, p=.002) — các regime thể chế khác biệt — nhưng gradient đơn điệu E1a/E1b không được xác nhận do FR anomaly (k=3) chi phối;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không điền số liệu chưa được xác nhận.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2026-05-26T15:20:53Z</dcterms:created>
  <dcterms:modified xsi:type="dcterms:W3CDTF">2026-05-26T15:20:53Z</dcterms:modified>
</cp:coreProperties>
</file>

<file path=docProps/custom.xml><?xml version="1.0" encoding="utf-8"?>
<Properties xmlns="http://schemas.openxmlformats.org/officeDocument/2006/custom-properties" xmlns:vt="http://schemas.openxmlformats.org/officeDocument/2006/docPropsVTypes"/>
</file>