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2.png" ContentType="image/png"/>
  <Override PartName="/word/media/rId49.png" ContentType="image/png"/>
  <Override PartName="/word/media/rId64.png" ContentType="image/png"/>
  <Override PartName="/word/media/rId58.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X6e49602a40cc64ed14c452ca6f8935cac55689a"/>
    <w:p>
      <w:pPr>
        <w:pStyle w:val="Heading1"/>
      </w:pPr>
      <w:r>
        <w:t xml:space="preserve">CHUYÊN ĐỀ TIẾN SĨ SỐ 1 — THỰC TRẠNG VỀ HIỆU QUẢ HOẠT ĐỘNG KINH DOANH CỦA CÁC DOANH NGHIỆP Ở CHÂU Á</w:t>
      </w:r>
    </w:p>
    <w:p>
      <w:pPr>
        <w:pStyle w:val="BlockText"/>
      </w:pPr>
      <w:r>
        <w:t xml:space="preserve">Căn cứ Quyết định số 4768/QĐ-ĐHCT ngày 15/10/2024 của Hiệu trưởng Trường Đại học Cần Thơ về việc giao chuyên đề và tiểu luận tổng quan tiến sĩ.</w:t>
      </w:r>
      <w:r>
        <w:t xml:space="preserve"> </w:t>
      </w:r>
      <w:r>
        <w:t xml:space="preserve">Bố cục tuân thủ Hướng dẫn QĐ 1799/QĐ-ĐHCT (18/6/2021) — Phần 1 Thông tin chung + Phần 2 Nội dung chuyên đề (§2.1 Đặt vấn đề / §2.2 PPNC / §2.3 Kết quả+thảo luận / §2.4 Kết luận+đề xuất).</w:t>
      </w:r>
    </w:p>
    <w:bookmarkStart w:id="20" w:name="phần-1-thông-tin-chung"/>
    <w:p>
      <w:pPr>
        <w:pStyle w:val="Heading2"/>
      </w:pPr>
      <w:r>
        <w:t xml:space="preserve">PHẦN 1 — THÔNG TIN CHUNG</w:t>
      </w:r>
    </w:p>
    <w:p>
      <w:pPr>
        <w:pStyle w:val="BlockText"/>
      </w:pPr>
      <w:r>
        <w:t xml:space="preserve">Căn cứ Quyết định số 4768/QĐ-ĐHCT ngày 15/10/2024 (giao chuyên đề); Quyết định số 4769/QĐ-ĐHCT ngày 15/10/2024 (tên luận án:</w:t>
      </w:r>
      <w:r>
        <w:t xml:space="preserve"> </w:t>
      </w:r>
      <w:r>
        <w:t xml:space="preserve">“</w:t>
      </w:r>
      <w:r>
        <w:t xml:space="preserve">Châu Á</w:t>
      </w:r>
      <w:r>
        <w:t xml:space="preserve">”</w:t>
      </w:r>
      <w:r>
        <w:t xml:space="preserve">).</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r>
        <w:t xml:space="preserve"> </w:t>
      </w:r>
      <w:r>
        <w:t xml:space="preserve">—</w:t>
      </w:r>
    </w:p>
    <w:bookmarkEnd w:id="20"/>
    <w:bookmarkStart w:id="21"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1"/>
    <w:bookmarkStart w:id="22"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ICRV): Advanced đổi mới sáng tạo dẫn dắt (innovation-driven, 5 nước), Advanced tài nguyên dẫn dắt (resource-driven, 5 nước), Upper-middle (6 nước), Emerging (7 nước), Frontier (17 nước), và Quốc đảo nhỏ Thái Bình Dương (Small Island Developing States, SIDS, 7 nước,</w:t>
      </w:r>
      <w:r>
        <w:t xml:space="preserve"> </w:t>
      </w:r>
      <w:r>
        <w:rPr>
          <w:bCs/>
          <w:b/>
        </w:rPr>
        <w:t xml:space="preserve">boundary case extension</w:t>
      </w:r>
      <w:r>
        <w:t xml:space="preserve">).</w:t>
      </w:r>
    </w:p>
    <w:p>
      <w:pPr>
        <w:pStyle w:val="BlockText"/>
      </w:pPr>
      <w:r>
        <w:rPr>
          <w:bCs/>
          <w:b/>
        </w:rPr>
        <w:t xml:space="preserve">Lưu ý phạm vi (scope clarification)</w:t>
      </w:r>
      <w:r>
        <w:t xml:space="preserve">: Tiêu đề luận án theo Quyết định 4769/QĐ-ĐHCT (15/10/2024) tập trung</w:t>
      </w:r>
      <w:r>
        <w:t xml:space="preserve"> </w:t>
      </w:r>
      <w:r>
        <w:rPr>
          <w:bCs/>
          <w:b/>
        </w:rPr>
        <w:t xml:space="preserve">“</w:t>
      </w:r>
      <w:r>
        <w:rPr>
          <w:bCs/>
          <w:b/>
        </w:rPr>
        <w:t xml:space="preserve">Châu Á</w:t>
      </w:r>
      <w:r>
        <w:rPr>
          <w:bCs/>
          <w:b/>
        </w:rPr>
        <w:t xml:space="preserve">”</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w:t>
      </w:r>
      <w:r>
        <w:t xml:space="preserve"> </w:t>
      </w:r>
      <w:r>
        <w:t xml:space="preserve">“</w:t>
      </w:r>
      <w:r>
        <w:t xml:space="preserve">Asia and Pacific</w:t>
      </w:r>
      <w:r>
        <w:t xml:space="preserve">”</w:t>
      </w:r>
      <w:r>
        <w:t xml:space="preserve"> </w:t>
      </w:r>
      <w:r>
        <w:t xml:space="preserve">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đặc biệt H6 (forced internationalization penalty) trong CĐ2. Chi tiết phân tích firm-level cho SIDS Pacific được trình bày trong phần phân tích các quốc đảo nhỏ Thái Bình Dương (SIDS) của luận án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sáu tiểu cảnh trong scope chính; SIDS Thái Bình Dương,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and Indian Ocean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and Indian Ocean SIDS (7,</w:t>
      </w:r>
      <w:r>
        <w:t xml:space="preserve"> </w:t>
      </w:r>
      <w:r>
        <w:rPr>
          <w:bCs/>
          <w:b/>
        </w:rPr>
        <w:t xml:space="preserve">boundary case extension</w:t>
      </w:r>
      <w:r>
        <w:t xml:space="preserve">).</w:t>
      </w:r>
    </w:p>
    <w:p>
      <w:pPr>
        <w:pStyle w:val="BlockText"/>
      </w:pPr>
      <w:r>
        <w:rPr>
          <w:bCs/>
          <w:b/>
        </w:rPr>
        <w:t xml:space="preserve">Scope clarification</w:t>
      </w:r>
      <w:r>
        <w:t xml:space="preserve">: The dissertation title under Decision 4769/QĐ-ĐHCT (October 15, 2024) focuses on</w:t>
      </w:r>
      <w:r>
        <w:t xml:space="preserve"> </w:t>
      </w:r>
      <w:r>
        <w:rPr>
          <w:bCs/>
          <w:b/>
        </w:rPr>
        <w:t xml:space="preserve">“</w:t>
      </w:r>
      <w:r>
        <w:rPr>
          <w:bCs/>
          <w:b/>
        </w:rPr>
        <w:t xml:space="preserve">Asia</w:t>
      </w:r>
      <w:r>
        <w:rPr>
          <w:bCs/>
          <w:b/>
        </w:rPr>
        <w:t xml:space="preserve">”</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and Indian Ocean SIDS (Fiji, Papua New Guinea, Solomon Islands, Tonga, Vanuatu, Samoa, Kiribati) as a boundary case extension</w:t>
      </w:r>
      <w:r>
        <w:t xml:space="preserve"> </w:t>
      </w:r>
      <w:r>
        <w:t xml:space="preserve">under the Asian Development Bank’s</w:t>
      </w:r>
      <w:r>
        <w:t xml:space="preserve"> </w:t>
      </w:r>
      <w:r>
        <w:t xml:space="preserve">“</w:t>
      </w:r>
      <w:r>
        <w:t xml:space="preserve">Asia and Pacific</w:t>
      </w:r>
      <w:r>
        <w:t xml:space="preserve">”</w:t>
      </w:r>
      <w:r>
        <w:t xml:space="preserve"> </w:t>
      </w:r>
      <w:r>
        <w:t xml:space="preserve">classification and the World Bank’s East Asia and Pacific (EAP) Region. Pacific and Indian Ocean SIDS (n=1,371,</w:t>
      </w:r>
      <w:r>
        <w:t xml:space="preserve"> </w:t>
      </w:r>
      <w:r>
        <w:rPr>
          <w:bCs/>
          <w:b/>
        </w:rPr>
        <w:t xml:space="preserve">1.4% of pool</w:t>
      </w:r>
      <w:r>
        <w:t xml:space="preserve">) does NOT belong to the primary scope but is included to illuminate Asian patterns through contrast, particularly H6 (forced internationalization penalty) in Specialty Essay 2. Detailed firm-level analysis for Pacific and Indian Ocean SIDS is presented in the dissertation’s own Pacific Small Island Developing States (SIDS) analysis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and Indian Ocean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and Indian Ocean SIDS boundary case, orienting contributions for the dissertation and Specialty Essay 2.</w:t>
      </w:r>
    </w:p>
    <w:p>
      <w:pPr>
        <w:pStyle w:val="BodyText"/>
      </w:pPr>
      <w:r>
        <w:rPr>
          <w:bCs/>
          <w:b/>
        </w:rPr>
        <w:t xml:space="preserve">Keywords</w:t>
      </w:r>
      <w:r>
        <w:t xml:space="preserve">: firm performance; Asia; WBES; landscape; labor productivity; SMEs; Advanced sub-grouping; Pacific and Indian Ocean SIDS boundary case.</w:t>
      </w:r>
    </w:p>
    <w:p>
      <w:r>
        <w:pict>
          <v:rect style="width:0;height:1.5pt" o:hralign="center" o:hrstd="t" o:hr="t"/>
        </w:pict>
      </w:r>
    </w:p>
    <w:bookmarkEnd w:id="24"/>
    <w:bookmarkStart w:id="25"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5"/>
    <w:bookmarkStart w:id="26" w:name="danh-mục-bảng"/>
    <w:p>
      <w:pPr>
        <w:pStyle w:val="Heading2"/>
      </w:pPr>
      <w:r>
        <w:t xml:space="preserve">DANH MỤC BẢNG</w:t>
      </w:r>
    </w:p>
    <w:p>
      <w:pPr>
        <w:pStyle w:val="FirstParagraph"/>
      </w:pPr>
      <w:r>
        <w:t xml:space="preserve">(10 bảng từ §2.1 đến §6.1, danh mục tự động tạo khi xuất Word/PDF.)</w:t>
      </w:r>
    </w:p>
    <w:bookmarkEnd w:id="26"/>
    <w:bookmarkStart w:id="27" w:name="danh-mục-hình"/>
    <w:p>
      <w:pPr>
        <w:pStyle w:val="Heading2"/>
      </w:pPr>
      <w:r>
        <w:t xml:space="preserve">DANH MỤC HÌNH</w:t>
      </w:r>
    </w:p>
    <w:p>
      <w:pPr>
        <w:pStyle w:val="FirstParagraph"/>
      </w:pPr>
      <w:r>
        <w:t xml:space="preserve">(11 hình ở</w:t>
      </w:r>
      <w:r>
        <w:t xml:space="preserve"> </w:t>
      </w:r>
      <w:r>
        <w:rPr>
          <w:rStyle w:val="VerbatimChar"/>
        </w:rPr>
        <w:t xml:space="preserve">thesis/figures/</w:t>
      </w:r>
      <w:r>
        <w:t xml:space="preserve">, danh mục tự động tạo khi xuất Word/PDF.)</w:t>
      </w:r>
    </w:p>
    <w:bookmarkEnd w:id="27"/>
    <w:bookmarkStart w:id="28" w:name="danh-mục-từ-viết-tắt"/>
    <w:p>
      <w:pPr>
        <w:pStyle w:val="Heading2"/>
      </w:pPr>
      <w:r>
        <w:t xml:space="preserve">DANH MỤC TỪ VIẾT TẮT</w:t>
      </w:r>
    </w:p>
    <w:p>
      <w:pPr>
        <w:pStyle w:val="FirstParagraph"/>
      </w:pPr>
      <w:r>
        <w:t xml:space="preserve">(Hơn 30 từ viết tắt với giải thích Việt-Anh.)</w:t>
      </w:r>
    </w:p>
    <w:p>
      <w:r>
        <w:pict>
          <v:rect style="width:0;height:1.5pt" o:hralign="center" o:hrstd="t" o:hr="t"/>
        </w:pict>
      </w:r>
    </w:p>
    <w:bookmarkEnd w:id="28"/>
    <w:bookmarkStart w:id="108" w:name="phần-2-nội-dung-chuyên-đề"/>
    <w:p>
      <w:pPr>
        <w:pStyle w:val="Heading2"/>
      </w:pPr>
      <w:r>
        <w:t xml:space="preserve">PHẦN 2 — NỘI DUNG CHUYÊN ĐỀ</w:t>
      </w:r>
    </w:p>
    <w:bookmarkStart w:id="35" w:name="đặt-vấn-đề"/>
    <w:p>
      <w:pPr>
        <w:pStyle w:val="Heading3"/>
      </w:pPr>
      <w:r>
        <w:t xml:space="preserve">2.1 Đặt vấn đề</w:t>
      </w:r>
    </w:p>
    <w:bookmarkStart w:id="29" w:name="giới-thiệu"/>
    <w:p>
      <w:pPr>
        <w:pStyle w:val="Heading4"/>
      </w:pPr>
      <w:r>
        <w:t xml:space="preserve">2.1.1 Giới thiệu</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w:t>
      </w:r>
      <w:r>
        <w:t xml:space="preserve"> </w:t>
      </w:r>
      <w:r>
        <w:t xml:space="preserve">“</w:t>
      </w:r>
      <w:r>
        <w:t xml:space="preserve">higher-value</w:t>
      </w:r>
      <w:r>
        <w:t xml:space="preserve">”</w:t>
      </w:r>
      <w:r>
        <w:t xml:space="preserve"> </w:t>
      </w:r>
      <w:r>
        <w:t xml:space="preserve">stage.</w:t>
      </w:r>
      <w:r>
        <w:t xml:space="preserve"> </w:t>
      </w:r>
      <w:r>
        <w:rPr>
          <w:bCs/>
          <w:b/>
        </w:rPr>
        <w:t xml:space="preserve">Lớp thứ bảy là bất định chính sách thuế quan Mỹ 2026</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(tác giả, ghi chú phân tích nội bộ, 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VEFR) đã mở rộng phạm vi WBES đến 17 nền kinh tế châu Á mới nổi với ~40.633 doanh nghiệp, ghi nhận pattern</w:t>
      </w:r>
      <w:r>
        <w:t xml:space="preserve"> </w:t>
      </w:r>
      <w:r>
        <w:t xml:space="preserve">“</w:t>
      </w:r>
      <w:r>
        <w:rPr>
          <w:bCs/>
          <w:b/>
        </w:rPr>
        <w:t xml:space="preserve">hiệu ứng thay thế số cho thể chế (digital shield effect)</w:t>
      </w:r>
      <w:r>
        <w:t xml:space="preserve">”</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gấp 2,5 lần phạm vi của Đỗ &amp; Phan (2026, VEFR). Đây là phạm vi rộng nhất từng có cho nghiên cứu I→P trong các nghiên cứu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thành đường cong đảo ngược ở điều kiện biên</w:t>
      </w:r>
      <w:r>
        <w:t xml:space="preserve">”</w:t>
      </w:r>
      <w:r>
        <w:t xml:space="preserve">. Đối với Fiji và 6 SIDS Pacific khác,</w:t>
      </w:r>
      <w:r>
        <w:t xml:space="preserve"> </w:t>
      </w:r>
      <w:r>
        <w:rPr>
          <w:bCs/>
          <w:b/>
        </w:rPr>
        <w:t xml:space="preserve">số hóa không phải công cụ tối ưu hóa chuỗi cung ứng mà là phương tiện sinh tồn. Website không phải chiến lược marketing mà là cánh cửa duy nhất kết nối với thế giới</w:t>
      </w:r>
      <w:r>
        <w:t xml:space="preserve"> </w:t>
      </w:r>
      <w:r>
        <w:t xml:space="preserve">(tác giả, ghi chú phân tích nội bộ, 2026). Ẩn dụ này dẫn vào §2.6 (3 điều kiện cấu trúc của U-curve) và §5.7 (SIDS Pacific case file 16), nơi điều kiện biên của lý thuyết Lu &amp; Beamish (2004) được thiết lập rõ ràng.</w:t>
      </w:r>
    </w:p>
    <w:bookmarkEnd w:id="29"/>
    <w:bookmarkStart w:id="30" w:name="mục-tiêu-chuyên-đề"/>
    <w:p>
      <w:pPr>
        <w:pStyle w:val="Heading4"/>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các nghiên cứu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30"/>
    <w:bookmarkStart w:id="31" w:name="giới-hạn-phạm-vi-và-đối-tượng-nghiên-cứu"/>
    <w:p>
      <w:pPr>
        <w:pStyle w:val="Heading4"/>
      </w:pPr>
      <w:r>
        <w:t xml:space="preserve">2.1.4 Giới hạn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vì các ngành này có cấu trúc thể chế đặc thù không phù hợp với khung phân tích doanh nghiệp tư nhân chính thức (cited World Bank, n.d.,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41 nước châu Á thuần</w:t>
      </w:r>
      <w:r>
        <w:t xml:space="preserve"> </w:t>
      </w:r>
      <w:r>
        <w:t xml:space="preserve">(theo tiêu đề luận án</w:t>
      </w:r>
      <w:r>
        <w:t xml:space="preserve"> </w:t>
      </w:r>
      <w:r>
        <w:t xml:space="preserve">“</w:t>
      </w:r>
      <w:r>
        <w:t xml:space="preserve">Châu Á</w:t>
      </w:r>
      <w:r>
        <w:t xml:space="preserve">”</w:t>
      </w:r>
      <w:r>
        <w:t xml:space="preserve"> </w:t>
      </w:r>
      <w:r>
        <w:t xml:space="preserve">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biên giới Đông – Tây Á về địa lý).</w:t>
      </w:r>
    </w:p>
    <w:p>
      <w:pPr>
        <w:pStyle w:val="BlockText"/>
      </w:pPr>
      <w:r>
        <w:rPr>
          <w:bCs/>
          <w:b/>
        </w:rPr>
        <w:t xml:space="preserve">Lưu ý phân biệt phạm vi ICRV vs WB geographic scope</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w:t>
      </w:r>
      <w:r>
        <w:t xml:space="preserve"> </w:t>
      </w:r>
      <w:r>
        <w:t xml:space="preserve">“</w:t>
      </w:r>
      <w:r>
        <w:t xml:space="preserve">Emerging/Central Asia</w:t>
      </w:r>
      <w:r>
        <w:t xml:space="preserve">”</w:t>
      </w:r>
      <w:r>
        <w:t xml:space="preserve"> </w:t>
      </w:r>
      <w:r>
        <w:t xml:space="preserve">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7 SIDS Thái Bình Dương</w:t>
      </w:r>
      <w:r>
        <w:t xml:space="preserve"> </w:t>
      </w:r>
      <w:r>
        <w:t xml:space="preserve">(theo khung</w:t>
      </w:r>
      <w:r>
        <w:t xml:space="preserve"> </w:t>
      </w:r>
      <w:r>
        <w:t xml:space="preserve">“</w:t>
      </w:r>
      <w:r>
        <w:t xml:space="preserve">Asia and Pacific</w:t>
      </w:r>
      <w:r>
        <w:t xml:space="preserve">”</w:t>
      </w:r>
      <w:r>
        <w:t xml:space="preserve"> </w:t>
      </w:r>
      <w:r>
        <w:t xml:space="preserve">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numPr>
          <w:ilvl w:val="0"/>
          <w:numId w:val="1004"/>
        </w:numPr>
      </w:pPr>
      <w:r>
        <w:rPr>
          <w:bCs/>
          <w:b/>
        </w:rPr>
        <w:t xml:space="preserve">Khung</w:t>
      </w:r>
      <w:r>
        <w:rPr>
          <w:bCs/>
          <w:b/>
        </w:rPr>
        <w:t xml:space="preserve"> </w:t>
      </w:r>
      <w:r>
        <w:rPr>
          <w:bCs/>
          <w:b/>
        </w:rPr>
        <w:t xml:space="preserve">“</w:t>
      </w:r>
      <w:r>
        <w:rPr>
          <w:bCs/>
          <w:b/>
        </w:rPr>
        <w:t xml:space="preserve">Asia and Pacific</w:t>
      </w:r>
      <w:r>
        <w:rPr>
          <w:bCs/>
          <w:b/>
        </w:rPr>
        <w:t xml:space="preserve">”</w:t>
      </w:r>
      <w:r>
        <w:rPr>
          <w:bCs/>
          <w:b/>
        </w:rPr>
        <w:t xml:space="preserve"> </w:t>
      </w:r>
      <w:r>
        <w:rPr>
          <w:bCs/>
          <w:b/>
        </w:rPr>
        <w:t xml:space="preserve">thống nhất</w:t>
      </w:r>
      <w:r>
        <w:t xml:space="preserve"> </w:t>
      </w:r>
      <w:r>
        <w:t xml:space="preserve">của ADB Regional Classification (ADB, 2024) và World Bank EAP Region được áp dụng xuyên suốt các báo cáo thực tiễn, đảm bảo so sánh nhất quán với các nghiên cứu IB hiện hành;</w:t>
      </w:r>
    </w:p>
    <w:p>
      <w:pPr>
        <w:numPr>
          <w:ilvl w:val="0"/>
          <w:numId w:val="1004"/>
        </w:numPr>
      </w:pPr>
      <w:r>
        <w:rPr>
          <w:bCs/>
          <w:b/>
        </w:rPr>
        <w:t xml:space="preserve">WBES coverage</w:t>
      </w:r>
      <w:r>
        <w:t xml:space="preserve"> </w:t>
      </w:r>
      <w:r>
        <w:t xml:space="preserve">cho SIDS Pacific là phần dữ liệu Asia mà không có nguồn alternative chuẩn hóa khác, bảo đảm tính khả dụng dữ liệu so sánh xuyên quốc gia;</w:t>
      </w:r>
    </w:p>
    <w:p>
      <w:pPr>
        <w:numPr>
          <w:ilvl w:val="0"/>
          <w:numId w:val="1004"/>
        </w:numPr>
      </w:pP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đặc biệt H6 (forced internationalization penalty) trong Chuyên đề 2. Kiribati 2025 với FSTS 1,03%, FDI 0,7%, website 18,7% là extreme nhất pool (xem §5.7);</w:t>
      </w:r>
    </w:p>
    <w:p>
      <w:pPr>
        <w:numPr>
          <w:ilvl w:val="0"/>
          <w:numId w:val="1004"/>
        </w:numPr>
      </w:pPr>
      <w:r>
        <w:rPr>
          <w:bCs/>
          <w:b/>
        </w:rPr>
        <w:t xml:space="preserve">Lý thuyết phenomenon-based</w:t>
      </w:r>
      <w:r>
        <w:t xml:space="preserve"> </w:t>
      </w:r>
      <w:r>
        <w:t xml:space="preserve">(Meyer et al., 2017): hiện tượng</w:t>
      </w:r>
      <w:r>
        <w:t xml:space="preserve"> </w:t>
      </w:r>
      <w:r>
        <w:t xml:space="preserve">“</w:t>
      </w:r>
      <w:r>
        <w:t xml:space="preserve">isolated SIDS</w:t>
      </w:r>
      <w:r>
        <w:t xml:space="preserve">”</w:t>
      </w:r>
      <w:r>
        <w:t xml:space="preserve"> </w:t>
      </w:r>
      <w:r>
        <w:t xml:space="preserve">(Kiribati extreme) làm sáng tỏ điều kiện biên của lý thuyết Uppsala (Johanson &amp; Vahlne, 1977) và liability of foreignness (Zaheer, 1995) ở scale cực nhỏ.</w:t>
      </w:r>
    </w:p>
    <w:p>
      <w:pPr>
        <w:pStyle w:val="FirstParagraph"/>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r>
        <w:t xml:space="preserve"> </w:t>
      </w:r>
      <w:r>
        <w:t xml:space="preserve">- (i)</w:t>
      </w:r>
      <w:r>
        <w:t xml:space="preserve"> </w:t>
      </w:r>
      <w:r>
        <w:rPr>
          <w:bCs/>
          <w:b/>
        </w:rPr>
        <w:t xml:space="preserve">Trường hợp biên cực trị (extreme boundary case)</w:t>
      </w:r>
      <w:r>
        <w:t xml:space="preserve"> </w:t>
      </w:r>
      <w:r>
        <w:t xml:space="preserve">cho ICRV regime classification (§3.2);</w:t>
      </w:r>
      <w:r>
        <w:t xml:space="preserve"> </w:t>
      </w:r>
      <w:r>
        <w:t xml:space="preserve">- (ii)</w:t>
      </w:r>
      <w:r>
        <w:t xml:space="preserve"> </w:t>
      </w:r>
      <w:r>
        <w:rPr>
          <w:bCs/>
          <w:b/>
        </w:rPr>
        <w:t xml:space="preserve">Đối chứng (counterfactual)</w:t>
      </w:r>
      <w:r>
        <w:t xml:space="preserve"> </w:t>
      </w:r>
      <w:r>
        <w:t xml:space="preserve">cho pattern châu Á, đặc biệt §5.7 SIDS Thái Bình Dương và §7.3.1 (3) digital theatre;</w:t>
      </w:r>
      <w:r>
        <w:t xml:space="preserve"> </w:t>
      </w:r>
      <w:r>
        <w:t xml:space="preserve">- (iii)</w:t>
      </w:r>
      <w:r>
        <w:t xml:space="preserve"> </w:t>
      </w:r>
      <w:r>
        <w:rPr>
          <w:bCs/>
          <w:b/>
        </w:rPr>
        <w:t xml:space="preserve">Bằng chứng cho H6</w:t>
      </w:r>
      <w:r>
        <w:t xml:space="preserve"> </w:t>
      </w:r>
      <w:r>
        <w:t xml:space="preserve">(forced internationalization penalty) trong Chuyên đề 2.</w:t>
      </w:r>
    </w:p>
    <w:p>
      <w:pPr>
        <w:pStyle w:val="BodyText"/>
      </w:pPr>
      <w:r>
        <w:rPr>
          <w:bCs/>
          <w:b/>
        </w:rPr>
        <w:t xml:space="preserve">Chi tiết phân tích firm-level cho SIDS Pacific</w:t>
      </w:r>
      <w:r>
        <w:t xml:space="preserve"> </w:t>
      </w:r>
      <w:r>
        <w:t xml:space="preserve">(gồm Kiribati extreme; Pacific MIRAB model, Bertram, 2006; vulnerability, Briguglio, 1995) được trình bày trong</w:t>
      </w:r>
      <w:r>
        <w:t xml:space="preserve"> </w:t>
      </w:r>
      <w:r>
        <w:rPr>
          <w:bCs/>
          <w:b/>
        </w:rPr>
        <w:t xml:space="preserve">phần phân tích các quốc đảo nhỏ Thái Bình Dương (SIDS) của luận án</w:t>
      </w:r>
      <w:r>
        <w:t xml:space="preserve"> </w:t>
      </w:r>
      <w:r>
        <w:t xml:space="preserve">để bảo đảm</w:t>
      </w:r>
      <w:r>
        <w:t xml:space="preserve"> </w:t>
      </w:r>
      <w:r>
        <w:rPr>
          <w:bCs/>
          <w:b/>
        </w:rPr>
        <w:t xml:space="preserve">scope coherence</w:t>
      </w:r>
      <w:r>
        <w:t xml:space="preserve"> </w:t>
      </w:r>
      <w:r>
        <w:t xml:space="preserve">cho luận án thuần</w:t>
      </w:r>
      <w:r>
        <w:t xml:space="preserve"> </w:t>
      </w:r>
      <w:r>
        <w:t xml:space="preserve">“</w:t>
      </w:r>
      <w:r>
        <w:t xml:space="preserve">Châu Á</w:t>
      </w:r>
      <w:r>
        <w:t xml:space="preserve">”</w:t>
      </w:r>
      <w:r>
        <w:t xml:space="preserve"> </w:t>
      </w:r>
      <w:r>
        <w:t xml:space="preserve">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gồm năng suất lao động, lợi nhuận, tăng trưởng, đổi mới sáng tạo, cấu trúc doanh nghiệp.</w:t>
      </w:r>
    </w:p>
    <w:bookmarkEnd w:id="31"/>
    <w:bookmarkStart w:id="32" w:name="nội-dung-phương-pháp-tiếp-cận-tổng-quan"/>
    <w:p>
      <w:pPr>
        <w:pStyle w:val="Heading4"/>
      </w:pPr>
      <w:r>
        <w:t xml:space="preserve">2.1.3 Nội dung (phương pháp tiếp cận tổng quan)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11 hình); (c) phân tích hai biến (bivariate). Khung PESTEL bổ trợ ở cấp độ giải thích bối cảnh.</w:t>
      </w:r>
    </w:p>
    <w:p>
      <w:pPr>
        <w:pStyle w:val="BodyText"/>
      </w:pPr>
      <w:r>
        <w:rPr>
          <w:bCs/>
          <w:b/>
        </w:rPr>
        <w:t xml:space="preserve">Áp dụng nguyên tắc transparent data section của Aguinis et al. (2019,</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trong Spec 1, multi-component trong Spec 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theo Kafouros et al. (2023,</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giải thích sự phân tán R&amp;D, ISO và TCI; (c)</w:t>
      </w:r>
      <w:r>
        <w:t xml:space="preserve"> </w:t>
      </w:r>
      <w:r>
        <w:rPr>
          <w:bCs/>
          <w:b/>
        </w:rPr>
        <w:t xml:space="preserve">trao đổi giữa các doanh nghiệp</w:t>
      </w:r>
      <w:r>
        <w:t xml:space="preserve"> </w:t>
      </w:r>
      <w:r>
        <w:t xml:space="preserve">(interfirm market exchange), giải thích phân tán năng suất nội bộ. Khung 3 cơ chế này là cơ sở để CĐ2 thiết lập các mô hình điều tiết (moderation) cho giả thuyết H7 mới: tương tác giữa chất lượng thể chế và động học ngành (industry × institutional dynamism interaction).</w:t>
      </w:r>
    </w:p>
    <w:p>
      <w:pPr>
        <w:pStyle w:val="BodyText"/>
      </w:pPr>
      <w:r>
        <w:rPr>
          <w:bCs/>
          <w:b/>
        </w:rPr>
        <w:t xml:space="preserve">Khung 3 trụ cột bổ sung theo IFC Private Sector Development Blueprint</w:t>
      </w:r>
      <w:r>
        <w:t xml:space="preserve">: Báo cáo IFC (n.d.,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lao động, tài chính, năng lượng, internet); (iii)</w:t>
      </w:r>
      <w:r>
        <w:t xml:space="preserve"> </w:t>
      </w:r>
      <w:r>
        <w:rPr>
          <w:bCs/>
          <w:b/>
        </w:rPr>
        <w:t xml:space="preserve">động lực thị trường</w:t>
      </w:r>
      <w:r>
        <w:t xml:space="preserve"> </w:t>
      </w:r>
      <w:r>
        <w:t xml:space="preserve">(market dynamics: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w:t>
      </w:r>
      <w:r>
        <w:t xml:space="preserve"> </w:t>
      </w:r>
      <w:r>
        <w:t xml:space="preserve">“</w:t>
      </w:r>
      <w:r>
        <w:t xml:space="preserve">n.a.</w:t>
      </w:r>
      <w:r>
        <w:t xml:space="preserve">”</w:t>
      </w:r>
      <w:r>
        <w:t xml:space="preserve"> </w:t>
      </w:r>
      <w:r>
        <w:t xml:space="preserve">(không áp dụng). Các nguyên tắc này bảo đảm tính so sánh xuyên quốc gia và xuyên thời gian của 47 nền kinh tế trong pool 101.185 doanh nghiệp (cited World Bank, 2025, Hệ thống phân loại quốc gia FY26 + n.d., Tài liệu tóm tắt chỉ số Enterprise Surveys; file 04 v2.5).</w:t>
      </w:r>
    </w:p>
    <w:bookmarkEnd w:id="32"/>
    <w:bookmarkStart w:id="33" w:name="ý-nghĩa-và-đóng-góp-dự-kiến"/>
    <w:p>
      <w:pPr>
        <w:pStyle w:val="Heading4"/>
      </w:pPr>
      <w:r>
        <w:t xml:space="preserve">2.1.5 Ý nghĩa và đóng góp dự kiến</w:t>
      </w:r>
    </w:p>
    <w:p>
      <w:pPr>
        <w:pStyle w:val="FirstParagraph"/>
      </w:pPr>
      <w:r>
        <w:rPr>
          <w:bCs/>
          <w:b/>
        </w:rPr>
        <w:t xml:space="preserve">Bốn đóng góp scope chính cho 41 nước châu Á</w:t>
      </w:r>
      <w:r>
        <w:t xml:space="preserve">:</w:t>
      </w:r>
    </w:p>
    <w:p>
      <w:pPr>
        <w:numPr>
          <w:ilvl w:val="0"/>
          <w:numId w:val="1005"/>
        </w:numPr>
      </w:pPr>
      <w:r>
        <w:rPr>
          <w:bCs/>
          <w:b/>
        </w:rPr>
        <w:t xml:space="preserve">Pattern điển hình (stylized facts)</w:t>
      </w:r>
      <w:r>
        <w:t xml:space="preserve"> </w:t>
      </w:r>
      <w:r>
        <w:t xml:space="preserve">đa chiều cho hiệu quả doanh nghiệp châu Á 2009–2025, phạm vi rộng nhất trong các nghiên cứu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w:t>
      </w:r>
      <w:r>
        <w:rPr>
          <w:iCs/>
          <w:i/>
        </w:rPr>
        <w:t xml:space="preserve">, Fiji</w:t>
      </w:r>
      <w:r>
        <w:t xml:space="preserve">) đặt chuyên đề ở vị trí cập nhật nhất.</w:t>
      </w:r>
    </w:p>
    <w:p>
      <w:pPr>
        <w:numPr>
          <w:ilvl w:val="0"/>
          <w:numId w:val="1005"/>
        </w:numPr>
      </w:pPr>
      <w:r>
        <w:rPr>
          <w:bCs/>
          <w:b/>
        </w:rPr>
        <w:t xml:space="preserve">Phân nhóm con Advanced</w:t>
      </w:r>
      <w:r>
        <w:t xml:space="preserve"> </w:t>
      </w:r>
      <w:r>
        <w:t xml:space="preserve">(innovation-driven so với resource-driven), phát hiện lý thuyết MỚI chưa có trong các nghiên cứu hiện hành (kể cả Đỗ &amp; Phan, 2026, VEFR vốn chỉ tập trung emerging Asia). Tỷ số phân tán Singapore (1,03) so với Vùng Vịnh (0,49) ≈</w:t>
      </w:r>
      <w:r>
        <w:t xml:space="preserve"> </w:t>
      </w:r>
      <w:r>
        <w:rPr>
          <w:bCs/>
          <w:b/>
        </w:rPr>
        <w:t xml:space="preserve">2,1 lần</w:t>
      </w:r>
      <w:r>
        <w:t xml:space="preserve"> </w:t>
      </w:r>
      <w:r>
        <w:t xml:space="preserve">(xem §5.2 + Hình 4.1).</w:t>
      </w:r>
    </w:p>
    <w:p>
      <w:pPr>
        <w:numPr>
          <w:ilvl w:val="0"/>
          <w:numId w:val="1005"/>
        </w:numPr>
      </w:pPr>
      <w:r>
        <w:rPr>
          <w:bCs/>
          <w:b/>
        </w:rPr>
        <w:t xml:space="preserve">Nhảy vọt số (digital leapfrog)</w:t>
      </w:r>
      <w:r>
        <w:t xml:space="preserve"> </w:t>
      </w:r>
      <w:r>
        <w:t xml:space="preserve">ở Frontier và Emerging châu Á 2018–2025, mở rộng pattern hiệu ứng thay thế số cho thể chế (digital shield effect) từ 17 nước (Đỗ &amp; Phan, 2026, VEFR) lên 47 nước (xem §4.4 và §4.6). Phân tách hai tầng (Tier) đo lường:</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multi-component, 5 thành phần: website + email + thanh toán di động (smartphone POS) + thương mại điện tử (e-commerce) + điện toán đám mây (cloud), đo trong Spec 2 2018–2025), minh bạch hóa rằng hệ số âm DAI ở Advanced trong Spec 1 (-0,129) là</w:t>
      </w:r>
      <w:r>
        <w:t xml:space="preserve"> </w:t>
      </w:r>
      <w:r>
        <w:rPr>
          <w:bCs/>
          <w:b/>
        </w:rPr>
        <w:t xml:space="preserve">biểu hiện giả tạo do bão hòa Tier-1 (artifact của Tier-1 saturation)</w:t>
      </w:r>
      <w:r>
        <w:t xml:space="preserve">, không phải</w:t>
      </w:r>
      <w:r>
        <w:t xml:space="preserve"> </w:t>
      </w:r>
      <w:r>
        <w:t xml:space="preserve">“</w:t>
      </w:r>
      <w:r>
        <w:t xml:space="preserve">số hóa làm giảm năng suất ở Singapore/Hàn Quốc</w:t>
      </w:r>
      <w:r>
        <w:t xml:space="preserve">”</w:t>
      </w:r>
      <w:r>
        <w:t xml:space="preserve">.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numPr>
          <w:ilvl w:val="0"/>
          <w:numId w:val="1005"/>
        </w:numPr>
      </w:pPr>
      <w:r>
        <w:rPr>
          <w:bCs/>
          <w:b/>
        </w:rPr>
        <w:t xml:space="preserve">Bằng chứng cho khung lý thuyết phi tuyến + điều tiết đa tầng</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w:t>
      </w:r>
      <w:r>
        <w:rPr>
          <w:bCs/>
          <w:b/>
        </w:rPr>
        <w:t xml:space="preserve"> </w:t>
      </w:r>
      <w:r>
        <w:rPr>
          <w:iCs/>
          <w:i/>
          <w:bCs/>
          <w:b/>
        </w:rPr>
        <w:t xml:space="preserve">Global Strategy Journal</w:t>
      </w:r>
      <w:r>
        <w:rPr>
          <w:bCs/>
          <w:b/>
        </w:rPr>
        <w:t xml:space="preserve">)</w:t>
      </w:r>
      <w:r>
        <w:t xml:space="preserve"> </w:t>
      </w:r>
      <w:r>
        <w:t xml:space="preserve">phân tách</w:t>
      </w:r>
      <w:r>
        <w:t xml:space="preserve"> </w:t>
      </w:r>
      <w:r>
        <w:t xml:space="preserve">“</w:t>
      </w:r>
      <w:r>
        <w:t xml:space="preserve">exposure de jure</w:t>
      </w:r>
      <w:r>
        <w:t xml:space="preserve">”</w:t>
      </w:r>
      <w:r>
        <w:t xml:space="preserve"> </w:t>
      </w:r>
      <w:r>
        <w:t xml:space="preserve">(luật trên giấy) vs</w:t>
      </w:r>
      <w:r>
        <w:t xml:space="preserve"> </w:t>
      </w:r>
      <w:r>
        <w:t xml:space="preserve">“</w:t>
      </w:r>
      <w:r>
        <w:t xml:space="preserve">enforcement de facto</w:t>
      </w:r>
      <w:r>
        <w:t xml:space="preserve">”</w:t>
      </w:r>
      <w:r>
        <w:t xml:space="preserve"> </w:t>
      </w:r>
      <w:r>
        <w:t xml:space="preserve">(thực thi thực tế),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rPr>
          <w:iCs/>
          <w:i/>
        </w:rPr>
        <w:t xml:space="preserve">industry × institutional dynamism interaction effect</w:t>
      </w:r>
      <w:r>
        <w:t xml:space="preserve">) và cho biểu đồ Bảng 4.8.1 dynamism profile theo Kafouros (xem §4.8 file 15).</w:t>
      </w:r>
    </w:p>
    <w:p>
      <w:pPr>
        <w:pStyle w:val="FirstParagraph"/>
      </w:pPr>
      <w:r>
        <w:rPr>
          <w:bCs/>
          <w:b/>
        </w:rPr>
        <w:t xml:space="preserve">Một đóng góp boundary case mở rộng (SIDS Pacific)</w:t>
      </w:r>
      <w:r>
        <w:t xml:space="preserve">:</w:t>
      </w:r>
    </w:p>
    <w:p>
      <w:pPr>
        <w:numPr>
          <w:ilvl w:val="0"/>
          <w:numId w:val="1006"/>
        </w:numPr>
        <w:pStyle w:val="Compact"/>
      </w:pP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bằng chứng firm-level đầu tiên trong các nghiên cứu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minh họa qua tương phản. Chi tiết phân tích cho SIDS Pacific được trình bày trong phần phân tích các quốc đảo nhỏ Thái Bình Dương (SIDS) của luận án.</w:t>
      </w:r>
    </w:p>
    <w:bookmarkEnd w:id="33"/>
    <w:bookmarkStart w:id="34" w:name="kết-cấu-chuyên-đề"/>
    <w:p>
      <w:pPr>
        <w:pStyle w:val="Heading4"/>
      </w:pPr>
      <w:r>
        <w:t xml:space="preserve">2.1.6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4"/>
    <w:bookmarkEnd w:id="35"/>
    <w:bookmarkStart w:id="41" w:name="phương-pháp-nghiên-cứu"/>
    <w:p>
      <w:pPr>
        <w:pStyle w:val="Heading3"/>
      </w:pPr>
      <w:r>
        <w:t xml:space="preserve">2.2 Phương pháp nghiên cứu</w:t>
      </w:r>
    </w:p>
    <w:bookmarkStart w:id="38" w:name="Xb7f628376877e6b3394a2ce7cb98209bea18ab9"/>
    <w:p>
      <w:pPr>
        <w:pStyle w:val="Heading4"/>
      </w:pPr>
      <w:r>
        <w:t xml:space="preserve">2.2.1 Cơ sở lý luận về hiệu quả hoạt động kinh doanh</w:t>
      </w:r>
    </w:p>
    <w:p>
      <w:pPr>
        <w:pStyle w:val="FirstParagraph"/>
      </w:pPr>
      <w:r>
        <w:t xml:space="preserve">(Năm tiểu mục đầy đủ §2.1–§2.5: khái niệm; chiều đo lường; meta-analysis; chuẩn hóa xuyên quốc gia; ba khung lý thuyết.)</w:t>
      </w:r>
    </w:p>
    <w:bookmarkStart w:id="36" w:name="X1a8b5920726a715638e9b692b5093988b2836eb"/>
    <w:p>
      <w:pPr>
        <w:pStyle w:val="Heading5"/>
      </w:pPr>
      <w:r>
        <w:t xml:space="preserve">2.2.1.1 Điều kiện biên cho U-curve Lu &amp; Beamish (2004)</w:t>
      </w:r>
    </w:p>
    <w:p>
      <w:pPr>
        <w:pStyle w:val="FirstParagraph"/>
      </w:pPr>
      <w:r>
        <w:t xml:space="preserve">Ghi chú phân tích nội bộ của tác giả (2026) lưu ý: việc nhét khái niệm</w:t>
      </w:r>
      <w:r>
        <w:t xml:space="preserve"> </w:t>
      </w:r>
      <w:r>
        <w:t xml:space="preserve">“</w:t>
      </w:r>
      <w:r>
        <w:t xml:space="preserve">chi phí buộc phải quốc tế hóa SIDS Pacific</w:t>
      </w:r>
      <w:r>
        <w:t xml:space="preserve">”</w:t>
      </w:r>
      <w:r>
        <w:t xml:space="preserve"> </w:t>
      </w:r>
      <w:r>
        <w:t xml:space="preserve">vào §4.4 file 15 làm mờ ranh giới giữa hai loại điều tiết thể chế: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không phải dị biệt ngẫu nhiên mà là điều kiện biên (boundary condition,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numPr>
          <w:ilvl w:val="0"/>
          <w:numId w:val="1007"/>
        </w:numPr>
      </w:pP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KHÔNG thỏa ở Kiribati (130.000 dân, GDP per capita ~$1.700), Tuvalu (~12.000 dân) hoặc Tonga (~106.000);</w:t>
      </w:r>
    </w:p>
    <w:p>
      <w:pPr>
        <w:numPr>
          <w:ilvl w:val="0"/>
          <w:numId w:val="1007"/>
        </w:numPr>
      </w:pP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KHÔNG thỏa đầy đủ ở SIDS Pacific xa hub thương mại (Fiji-Auckland 2.100 km, Kiribati-Suva 2.700 km, không có direct flight thường xuyên; Vanuatu-Sydney 2.500 km);</w:t>
      </w:r>
    </w:p>
    <w:p>
      <w:pPr>
        <w:numPr>
          <w:ilvl w:val="0"/>
          <w:numId w:val="1007"/>
        </w:numPr>
      </w:pP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KHÔNG thỏa đầy đủ ở SIDS isolated (Kiribati ISO 1,3%, FDI 0,7%) hay frontier conflict zones (Afghanistan, Yemen, Iraq); riêng nhóm Emerging có gap de jure–de facto lớn theo Xu (2024) gây bẫy chuyển hướng nguồn lực.</w:t>
      </w:r>
    </w:p>
    <w:p>
      <w:pPr>
        <w:pStyle w:val="FirstParagraph"/>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tác giả, ghi chú phân tích nội bộ (2026).</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r>
        <w:t xml:space="preserve"> </w:t>
      </w:r>
      <w:r>
        <w:t xml:space="preserve">-</w:t>
      </w:r>
      <w:r>
        <w:t xml:space="preserve"> </w:t>
      </w:r>
      <w:r>
        <w:rPr>
          <w:bCs/>
          <w:b/>
        </w:rPr>
        <w:t xml:space="preserve">§3 ICRV regime classification</w:t>
      </w:r>
      <w:r>
        <w:t xml:space="preserve">: Singapore = Advanced innovation (trạng thái A); Việt Nam = Emerging (trạng thái B); SIDS Pacific = boundary case extension (trạng thái C), tách 3 trạng thái thay vì gộp;</w:t>
      </w:r>
      <w:r>
        <w:t xml:space="preserve"> </w:t>
      </w:r>
      <w:r>
        <w:t xml:space="preserve">-</w:t>
      </w:r>
      <w:r>
        <w:t xml:space="preserve"> </w:t>
      </w:r>
      <w:r>
        <w:rPr>
          <w:bCs/>
          <w:b/>
        </w:rPr>
        <w:t xml:space="preserve">§5.2 (Singapore archetype)</w:t>
      </w:r>
      <w:r>
        <w:t xml:space="preserve"> </w:t>
      </w:r>
      <w:r>
        <w:t xml:space="preserve">+</w:t>
      </w:r>
      <w:r>
        <w:t xml:space="preserve"> </w:t>
      </w:r>
      <w:r>
        <w:rPr>
          <w:bCs/>
          <w:b/>
        </w:rPr>
        <w:t xml:space="preserve">§5.7 (Pacific and Indian Ocean SIDS case)</w:t>
      </w:r>
      <w:r>
        <w:t xml:space="preserve"> </w:t>
      </w:r>
      <w:r>
        <w:t xml:space="preserve">trong file 16;</w:t>
      </w:r>
      <w:r>
        <w:t xml:space="preserve"> </w:t>
      </w:r>
      <w:r>
        <w:t xml:space="preserve">-</w:t>
      </w:r>
      <w:r>
        <w:t xml:space="preserve"> </w:t>
      </w:r>
      <w:r>
        <w:rPr>
          <w:bCs/>
          <w:b/>
        </w:rPr>
        <w:t xml:space="preserve">CĐ2 H6 (forced internationalization penalty)</w:t>
      </w:r>
      <w:r>
        <w:t xml:space="preserve">: dự đoán ở SIDS Pacific (trạng thái C), FSTS KHÔNG correlate với năng suất vì U-curve không vận hành. Hệ số FSTS ở SIDS sẽ không-significant hoặc đảo dấu so với Advanced/Emerging.</w:t>
      </w:r>
    </w:p>
    <w:bookmarkEnd w:id="36"/>
    <w:bookmarkStart w:id="37" w:name="X71ac781f72fe6d265727e71a6fb014eb7d17761"/>
    <w:p>
      <w:pPr>
        <w:pStyle w:val="Heading5"/>
      </w:pPr>
      <w:r>
        <w:t xml:space="preserve">2.2.1.2 Khung 4-Tier chuyển đổi số và Mô hình năng lực số phụ thuộc bối cảnh (CDCM)</w:t>
      </w:r>
    </w:p>
    <w:p>
      <w:pPr>
        <w:pStyle w:val="FirstParagraph"/>
      </w:pPr>
      <w:r>
        <w:t xml:space="preserve">Việc đối chiếu phân tích Singapore và Việt Nam của luận án chỉ ra một construct validity gap quan trọng: DAI đo lường trong cả hai bối cảnh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trước khi báo cáo descriptive results, để phòng tránh</w:t>
      </w:r>
      <w:r>
        <w:t xml:space="preserve"> </w:t>
      </w:r>
      <w:r>
        <w:t xml:space="preserve">“</w:t>
      </w:r>
      <w:r>
        <w:t xml:space="preserve">overclaiming</w:t>
      </w:r>
      <w:r>
        <w:t xml:space="preserve">”</w:t>
      </w:r>
      <w:r>
        <w:t xml:space="preserve"> </w:t>
      </w:r>
      <w:r>
        <w:t xml:space="preserve">trong khi nộp Hội đồng CTU + tránh</w:t>
      </w:r>
      <w:r>
        <w:t xml:space="preserve"> </w:t>
      </w:r>
      <w:r>
        <w:t xml:space="preserve">“</w:t>
      </w:r>
      <w:r>
        <w:t xml:space="preserve">desk-reject</w:t>
      </w:r>
      <w:r>
        <w:t xml:space="preserve">”</w:t>
      </w:r>
      <w:r>
        <w:t xml:space="preserve"> </w:t>
      </w:r>
      <w:r>
        <w:t xml:space="preserve">khi submit Q1/Q2 IB journals.</w:t>
      </w:r>
    </w:p>
    <w:p>
      <w:pPr>
        <w:pStyle w:val="BodyText"/>
      </w:pPr>
      <w:r>
        <w:rPr>
          <w:bCs/>
          <w:b/>
        </w:rPr>
        <w:t xml:space="preserve">Bốn tầng bậc số hóa theo Verhoef et al. (2021,</w:t>
      </w:r>
      <w:r>
        <w:rPr>
          <w:bCs/>
          <w:b/>
        </w:rPr>
        <w:t xml:space="preserve"> </w:t>
      </w:r>
      <w:r>
        <w:rPr>
          <w:iCs/>
          <w:i/>
          <w:bCs/>
          <w:b/>
        </w:rPr>
        <w:t xml:space="preserve">Journal of Business Research</w:t>
      </w:r>
      <w:r>
        <w:rPr>
          <w:bCs/>
          <w:b/>
        </w:rP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w:t>
      </w:r>
      <w:r>
        <w:t xml:space="preserve"> </w:t>
      </w:r>
      <w:r>
        <w:t xml:space="preserve">“</w:t>
      </w:r>
      <w:r>
        <w:t xml:space="preserve">năng lực số</w:t>
      </w:r>
      <w:r>
        <w:t xml:space="preserve">”</w:t>
      </w:r>
      <w:r>
        <w:t xml:space="preserve"> </w:t>
      </w:r>
      <w:r>
        <w:t xml:space="preserve">trong CĐ1 + papers IB thuộc luận án phải hạn chế ở phạm vi</w:t>
      </w:r>
      <w:r>
        <w:t xml:space="preserve"> </w:t>
      </w:r>
      <w:r>
        <w:rPr>
          <w:bCs/>
          <w:b/>
        </w:rPr>
        <w:t xml:space="preserve">Foundational Digital Adoption (FDA)</w:t>
      </w:r>
      <w:r>
        <w:t xml:space="preserve">, KHÔNG mở rộng thành</w:t>
      </w:r>
      <w:r>
        <w:t xml:space="preserve"> </w:t>
      </w:r>
      <w:r>
        <w:t xml:space="preserve">“</w:t>
      </w:r>
      <w:r>
        <w:t xml:space="preserve">Digital Capability</w:t>
      </w:r>
      <w:r>
        <w:t xml:space="preserve">”</w:t>
      </w:r>
      <w:r>
        <w:t xml:space="preserve"> </w:t>
      </w:r>
      <w:r>
        <w:t xml:space="preserve">hay</w:t>
      </w:r>
      <w:r>
        <w:t xml:space="preserve"> </w:t>
      </w:r>
      <w:r>
        <w:t xml:space="preserve">“</w:t>
      </w:r>
      <w:r>
        <w:t xml:space="preserve">Digital Transformation</w:t>
      </w:r>
      <w:r>
        <w:t xml:space="preserve">”</w:t>
      </w:r>
      <w:r>
        <w:t xml:space="preserve">. Đây là tiêu chuẩn nhất quán xuyên CĐ1 / CĐ2 / luận án 5 chương.</w:t>
      </w:r>
    </w:p>
    <w:p>
      <w:pPr>
        <w:pStyle w:val="BodyText"/>
      </w:pPr>
      <w:r>
        <w:rPr>
          <w:bCs/>
          <w:b/>
        </w:rPr>
        <w:t xml:space="preserve">Mô hình Năng lực số phụ thuộc bối cảnh (Context-Contingent Digital Capability Model, CDCM)</w:t>
      </w:r>
      <w:r>
        <w:t xml:space="preserve">, đóng góp lý thuyết MỚI hợp nhất hai tuyến phân tích quốc gia.</w:t>
      </w:r>
      <w:r>
        <w:t xml:space="preserve"> </w:t>
      </w:r>
      <w:r>
        <w:rPr>
          <w:iCs/>
          <w:i/>
        </w:rPr>
        <w:t xml:space="preserve">Định vị xuyên portfolio:</w:t>
      </w:r>
      <w:r>
        <w:t xml:space="preserve"> </w:t>
      </w:r>
      <w:r>
        <w:t xml:space="preserve">CDCM ở đây là</w:t>
      </w:r>
      <w:r>
        <w:t xml:space="preserve"> </w:t>
      </w:r>
      <w:r>
        <w:rPr>
          <w:iCs/>
          <w:i/>
        </w:rPr>
        <w:t xml:space="preserve">lớp signature</w:t>
      </w:r>
      <w:r>
        <w:t xml:space="preserve"> </w:t>
      </w:r>
      <w:r>
        <w:t xml:space="preserve">(observable signature ở cấp doanh nghiệp) trong khung tích hợp ba lớp</w:t>
      </w:r>
      <w:r>
        <w:t xml:space="preserve"> </w:t>
      </w:r>
      <w:r>
        <w:rPr>
          <w:bCs/>
          <w:b/>
        </w:rPr>
        <w:t xml:space="preserve">CIMT–ICRV–CDCM</w:t>
      </w:r>
      <w:r>
        <w:t xml:space="preserve"> </w:t>
      </w:r>
      <w:r>
        <w:t xml:space="preserve">mà luận án phát triển ở Chương 2 §2.5.1–2.5.4. Cụ thể, CIMT (Capability–Institution Mismatch Theory) là cơ chế bao trùm tầm trung tích hợp ba kênh đã khẳng định trong văn liệu IB (rent protection, LoF attenuation, institutional-void amplification); ICRV là taxonomy phân loại bối cảnh thể chế; CDCM là bằng chứng quan sát được ở cấp doanh nghiệp dưới điều kiện số hóa. CĐ1 đóng vai trò</w:t>
      </w:r>
      <w:r>
        <w:t xml:space="preserve"> </w:t>
      </w:r>
      <w:r>
        <w:rPr>
          <w:iCs/>
          <w:i/>
        </w:rPr>
        <w:t xml:space="preserve">empirical genesis</w:t>
      </w:r>
      <w:r>
        <w:t xml:space="preserve"> </w:t>
      </w:r>
      <w:r>
        <w:t xml:space="preserve">của lớp CDCM thông qua đối chiếu Việt Nam–Singapore.</w:t>
      </w:r>
    </w:p>
    <w:p>
      <w:pPr>
        <w:pStyle w:val="BodyText"/>
      </w:pPr>
      <w:r>
        <w:t xml:space="preserve">CDCM hợp nhất phát hiện từ phân tích Singapore và Việt Nam của luận án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w:t>
      </w:r>
      <w:r>
        <w:t xml:space="preserve"> </w:t>
      </w:r>
      <w:r>
        <w:rPr>
          <w:iCs/>
          <w:i/>
        </w:rPr>
        <w:t xml:space="preserve">scarce advantage</w:t>
      </w:r>
      <w:r>
        <w:t xml:space="preserve"> </w:t>
      </w:r>
      <w:r>
        <w:t xml:space="preserve">giúp doanh nghiệp vượt rào cản quốc tế hóa (TCIz IV β=1,639, p&lt;,001 robust 2SLS). Singapore:</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theo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r>
        <w:t xml:space="preserve"> </w:t>
      </w:r>
      <w:r>
        <w:t xml:space="preserve">-</w:t>
      </w:r>
      <w:r>
        <w:t xml:space="preserve"> </w:t>
      </w: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r>
        <w:t xml:space="preserve"> </w:t>
      </w:r>
      <w:r>
        <w:t xml:space="preserve">-</w:t>
      </w:r>
      <w:r>
        <w:t xml:space="preserve"> </w:t>
      </w:r>
      <w:r>
        <w:rPr>
          <w:bCs/>
          <w:b/>
        </w:rPr>
        <w:t xml:space="preserve">Specification 2</w:t>
      </w:r>
      <w:r>
        <w:t xml:space="preserve"> </w:t>
      </w:r>
      <w:r>
        <w:t xml:space="preserve">(Tier 1+2 multi-component, BREADY 2018+ wave): expected positive coefficient + interaction với FSTS² dương ở Advanced, replication pattern Singapore phân tích Singapore;</w:t>
      </w:r>
      <w:r>
        <w:t xml:space="preserve"> </w:t>
      </w:r>
      <w:r>
        <w:t xml:space="preserve">-</w:t>
      </w:r>
      <w:r>
        <w:t xml:space="preserve"> </w:t>
      </w:r>
      <w:r>
        <w:rPr>
          <w:bCs/>
          <w:b/>
        </w:rPr>
        <w:t xml:space="preserve">Robustness check #10</w:t>
      </w:r>
      <w:r>
        <w:t xml:space="preserve"> </w:t>
      </w:r>
      <w:r>
        <w:t xml:space="preserve">(mới): cross-validation construct boundary, chạy Spec 2 chỉ ở 41 nước có đủ Tier 1+2 data (BREADY+ wave); confirm rằng pattern Singapore-style emerges khi có composite digital adoption metric;</w:t>
      </w:r>
      <w:r>
        <w:t xml:space="preserve"> </w:t>
      </w:r>
      <w:r>
        <w:t xml:space="preserve">-</w:t>
      </w:r>
      <w:r>
        <w:t xml:space="preserve"> </w:t>
      </w: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w:t>
      </w:r>
      <w:r>
        <w:t xml:space="preserve"> </w:t>
      </w:r>
      <w:r>
        <w:t xml:space="preserve">“</w:t>
      </w:r>
      <w:r>
        <w:t xml:space="preserve">đòn bẩy</w:t>
      </w:r>
      <w:r>
        <w:t xml:space="preserve">”</w:t>
      </w:r>
      <w:r>
        <w:t xml:space="preserve"> </w:t>
      </w:r>
      <w:r>
        <w:t xml:space="preserve">(lever) và</w:t>
      </w:r>
      <w:r>
        <w:t xml:space="preserve"> </w:t>
      </w:r>
      <w:r>
        <w:t xml:space="preserve">“</w:t>
      </w:r>
      <w:r>
        <w:t xml:space="preserve">điểm nghẽn</w:t>
      </w:r>
      <w:r>
        <w:t xml:space="preserve">”</w:t>
      </w:r>
      <w:r>
        <w:t xml:space="preserve"> </w:t>
      </w:r>
      <w:r>
        <w:t xml:space="preserve">(bottleneck) của số hóa theo cấp tầng và cường độ xuất khẩu.</w:t>
      </w:r>
    </w:p>
    <w:p>
      <w:pPr>
        <w:pStyle w:val="BodyText"/>
      </w:pPr>
      <w:r>
        <w:rPr>
          <w:bCs/>
          <w:b/>
        </w:rPr>
        <w:t xml:space="preserve">Tham chiếu</w:t>
      </w:r>
      <w:r>
        <w:t xml:space="preserve">: Verhoef et al. (2021); Bharadwaj et al. (2013); Brynjolfsson &amp; McAfee (2014); Đỗ &amp; Phan (2026, phân tích Việt Nam,</w:t>
      </w:r>
      <w:r>
        <w:t xml:space="preserve"> </w:t>
      </w:r>
      <w:r>
        <w:rPr>
          <w:iCs/>
          <w:i/>
        </w:rPr>
        <w:t xml:space="preserve">APJM</w:t>
      </w:r>
      <w:r>
        <w:t xml:space="preserve">); Coase (1937); Williamson (1985); Banalieva &amp; Dhanaraj (2019).</w:t>
      </w:r>
    </w:p>
    <w:p>
      <w:r>
        <w:pict>
          <v:rect style="width:0;height:1.5pt" o:hralign="center" o:hrstd="t" o:hr="t"/>
        </w:pict>
      </w:r>
    </w:p>
    <w:bookmarkEnd w:id="37"/>
    <w:bookmarkEnd w:id="38"/>
    <w:bookmarkStart w:id="39" w:name="khung-phân-loại-6-sub-regime-icrv"/>
    <w:p>
      <w:pPr>
        <w:pStyle w:val="Heading4"/>
      </w:pPr>
      <w:r>
        <w:t xml:space="preserve">2.2.2 Khung phân loại 6 sub-regime ICRV</w:t>
      </w:r>
    </w:p>
    <w:p>
      <w:pPr>
        <w:pStyle w:val="FirstParagraph"/>
      </w:pPr>
      <w:r>
        <w:t xml:space="preserve">(§3.1–§3.5 đầy đủ với Bảng 3.1, 3.2 và logic phân nhóm con. Hàng SIDS Pacific được giữ với phần làm rõ ở §1.3 rằng đây là phần mở rộng trường hợp biên.)</w:t>
      </w:r>
    </w:p>
    <w:p>
      <w:r>
        <w:pict>
          <v:rect style="width:0;height:1.5pt" o:hralign="center" o:hrstd="t" o:hr="t"/>
        </w:pict>
      </w:r>
    </w:p>
    <w:bookmarkEnd w:id="39"/>
    <w:bookmarkStart w:id="40" w:name="Xa4cbce00f46aae4bc9fb6aeff66349c57699688"/>
    <w:p>
      <w:pPr>
        <w:pStyle w:val="Heading4"/>
      </w:pPr>
      <w:r>
        <w:t xml:space="preserve">2.2.3 Nguồn dữ liệu WBES và phương pháp mô tả-chẩn đoán</w:t>
      </w:r>
    </w:p>
    <w:p>
      <w:pPr>
        <w:pStyle w:val="FirstParagraph"/>
      </w:pPr>
      <w:r>
        <w:t xml:space="preserve">Chuyên đề khai thác dữ liệu vi mô của</w:t>
      </w:r>
      <w:r>
        <w:t xml:space="preserve"> </w:t>
      </w:r>
      <w:r>
        <w:rPr>
          <w:iCs/>
          <w:i/>
        </w:rPr>
        <w:t xml:space="preserve">World Bank Enterprise Surveys (WBES)</w:t>
      </w:r>
      <w:r>
        <w:t xml:space="preserve"> </w:t>
      </w:r>
      <w:r>
        <w:t xml:space="preserve">trên 47 nền kinh tế châu Á và Thái Bình Dương trong giai đoạn 2009-2025, với tổng cộng 101.185 quan sát doanh nghiệp trên 108 cặp quốc gia × năm và 14 mốc khảo sát. Cấu trúc dữ liệu trải qua ba thế hệ lược đồ (PICS3 2009-2013; Standardized 2014-2018; BREADY/BEE 2019-2025) và đã được hài hòa theo</w:t>
      </w:r>
      <w:r>
        <w:t xml:space="preserve"> </w:t>
      </w:r>
      <w:r>
        <w:rPr>
          <w:iCs/>
          <w:i/>
        </w:rPr>
        <w:t xml:space="preserve">WBES harmonization protocol</w:t>
      </w:r>
      <w:r>
        <w:t xml:space="preserve"> </w:t>
      </w:r>
      <w:r>
        <w:t xml:space="preserve">trình bày ở Phụ lục A của luận án. Mẫu phân tích chính của chuyên đề tập trung vào</w:t>
      </w:r>
      <w:r>
        <w:t xml:space="preserve"> </w:t>
      </w:r>
      <w:r>
        <w:rPr>
          <w:iCs/>
          <w:i/>
        </w:rPr>
        <w:t xml:space="preserve">41 nền kinh tế châu Á trong scope chính của Quyết định 4769/QĐ-ĐHCT</w:t>
      </w:r>
      <w:r>
        <w:t xml:space="preserve"> </w:t>
      </w:r>
      <w:r>
        <w:t xml:space="preserve">(~99.814 doanh nghiệp), bổ sung 7 SIDS Thái Bình Dương (n=1.371, 1,4% pool) làm</w:t>
      </w:r>
      <w:r>
        <w:t xml:space="preserve"> </w:t>
      </w:r>
      <w:r>
        <w:rPr>
          <w:iCs/>
          <w:i/>
        </w:rPr>
        <w:t xml:space="preserve">trường hợp biên mở rộng</w:t>
      </w:r>
      <w:r>
        <w:t xml:space="preserve"> </w:t>
      </w:r>
      <w:r>
        <w:t xml:space="preserve">(boundary case extension) để minh họa các pattern châu Á qua tương phản.</w:t>
      </w:r>
    </w:p>
    <w:p>
      <w:pPr>
        <w:pStyle w:val="BodyText"/>
      </w:pPr>
      <w:r>
        <w:t xml:space="preserve">Phương pháp chủ đạo là</w:t>
      </w:r>
      <w:r>
        <w:t xml:space="preserve"> </w:t>
      </w:r>
      <w:r>
        <w:rPr>
          <w:iCs/>
          <w:i/>
        </w:rPr>
        <w:t xml:space="preserve">phân tích mô tả-chẩn đoán</w:t>
      </w:r>
      <w:r>
        <w:t xml:space="preserve"> </w:t>
      </w:r>
      <w:r>
        <w:t xml:space="preserve">(descriptive-diagnostic analysis) đa chiều, không phải kiểm định nhân quả. Mục tiêu của chuyên đề là</w:t>
      </w:r>
      <w:r>
        <w:t xml:space="preserve"> </w:t>
      </w:r>
      <w:r>
        <w:rPr>
          <w:iCs/>
          <w:i/>
        </w:rPr>
        <w:t xml:space="preserve">vẽ bản đồ thực trạng</w:t>
      </w:r>
      <w:r>
        <w:t xml:space="preserve"> </w:t>
      </w:r>
      <w:r>
        <w:t xml:space="preserve">hiệu quả hoạt động kinh doanh ở 47 nền kinh tế để định hướng câu hỏi nghiên cứu cho Chuyên đề 2 và luận án, chứ không phải đưa ra ước lượng nhân quả. Hiệu quả hoạt động kinh doanh được tiếp cận theo bốn chiều: (i)</w:t>
      </w:r>
      <w:r>
        <w:t xml:space="preserve"> </w:t>
      </w:r>
      <w:r>
        <w:rPr>
          <w:iCs/>
          <w:i/>
        </w:rPr>
        <w:t xml:space="preserve">năng suất lao động</w:t>
      </w:r>
      <w:r>
        <w:t xml:space="preserve"> </w:t>
      </w:r>
      <w:r>
        <w:t xml:space="preserve">(labor productivity, đo bằng log doanh thu/lao động); (ii)</w:t>
      </w:r>
      <w:r>
        <w:t xml:space="preserve"> </w:t>
      </w:r>
      <w:r>
        <w:rPr>
          <w:iCs/>
          <w:i/>
        </w:rPr>
        <w:t xml:space="preserve">lợi nhuận và biên lợi nhuận</w:t>
      </w:r>
      <w:r>
        <w:t xml:space="preserve"> </w:t>
      </w:r>
      <w:r>
        <w:t xml:space="preserve">(profit margin, ROA proxy); (iii)</w:t>
      </w:r>
      <w:r>
        <w:t xml:space="preserve"> </w:t>
      </w:r>
      <w:r>
        <w:rPr>
          <w:iCs/>
          <w:i/>
        </w:rPr>
        <w:t xml:space="preserve">tăng trưởng</w:t>
      </w:r>
      <w:r>
        <w:t xml:space="preserve"> </w:t>
      </w:r>
      <w:r>
        <w:t xml:space="preserve">(sales growth, employment growth); và (iv)</w:t>
      </w:r>
      <w:r>
        <w:t xml:space="preserve"> </w:t>
      </w:r>
      <w:r>
        <w:rPr>
          <w:iCs/>
          <w:i/>
        </w:rPr>
        <w:t xml:space="preserve">đổi mới sáng tạo và cấu trúc doanh nghiệp</w:t>
      </w:r>
      <w:r>
        <w:t xml:space="preserve"> </w:t>
      </w:r>
      <w:r>
        <w:t xml:space="preserve">(innovation activity, formal/informal status, gender ownership). Các công cụ phân tích bao gồm: thống kê mô tả phân vị, đồ thị phân bố (boxplot, kernel density), bảng so sánh chéo theo ICRV sub-regime và theo ngành (2-digit ISIC), và phân tích hai biến (bivariate analysis) giữa hiệu quả và các yếu tố thể chế / năng lực số / đặc điểm quản trị. Phân tích đa biến (multivariate regression) và kiểm định nhân quả thuộc phạm vi của Chuyên đề 2 và luận án.</w:t>
      </w:r>
    </w:p>
    <w:bookmarkEnd w:id="40"/>
    <w:bookmarkEnd w:id="41"/>
    <w:bookmarkStart w:id="97" w:name="kết-quả-và-thảo-luận"/>
    <w:p>
      <w:pPr>
        <w:pStyle w:val="Heading3"/>
      </w:pPr>
      <w:r>
        <w:t xml:space="preserve">2.3 Kết quả và thảo luận</w:t>
      </w:r>
    </w:p>
    <w:bookmarkStart w:id="55" w:name="Xa84786746cd8ccb733bfe9392856c0a0831b320"/>
    <w:p>
      <w:pPr>
        <w:pStyle w:val="Heading4"/>
      </w:pPr>
      <w:r>
        <w:t xml:space="preserve">2.3.1 Thực trạng tổng thể hiệu quả doanh nghiệp châu Á 2009-2025</w:t>
      </w:r>
    </w:p>
    <w:bookmarkStart w:id="48" w:name="X3f3f719f88bf0ed42bff718572107a40145c645"/>
    <w:p>
      <w:pPr>
        <w:pStyle w:val="Heading5"/>
      </w:pPr>
      <w:r>
        <w:t xml:space="preserve">2.3.1.1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17.107 doanh nghiệp.</w:t>
      </w:r>
    </w:p>
    <w:p>
      <w:pPr>
        <w:pStyle w:val="CaptionedFigure"/>
      </w:pPr>
      <w:r>
        <w:drawing>
          <wp:inline>
            <wp:extent cx="5753100" cy="3141580"/>
            <wp:effectExtent b="0" l="0" r="0" t="0"/>
            <wp:docPr descr="Hình 4.1.1, Phân bố pool 5 phân nhóm con thể chế (n=101.185 doanh nghiệp)" title="" id="43" name="Picture"/>
            <a:graphic>
              <a:graphicData uri="http://schemas.openxmlformats.org/drawingml/2006/picture">
                <pic:pic>
                  <pic:nvPicPr>
                    <pic:cNvPr descr="figures/fig_4_1_pool_composition.png" id="44" name="Picture"/>
                    <pic:cNvPicPr>
                      <a:picLocks noChangeArrowheads="1" noChangeAspect="1"/>
                    </pic:cNvPicPr>
                  </pic:nvPicPr>
                  <pic:blipFill>
                    <a:blip r:embed="rId4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4.1.1,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CaptionedFigure"/>
      </w:pPr>
      <w:r>
        <w:drawing>
          <wp:inline>
            <wp:extent cx="5753100" cy="2577276"/>
            <wp:effectExtent b="0" l="0" r="0" t="0"/>
            <wp:docPr descr="Hình 4.0, Phân bố mẫu 101.185 doanh nghiệp xuyên 17 năm (2009–2025) theo 3 thế hệ schema WBES" title="" id="46" name="Picture"/>
            <a:graphic>
              <a:graphicData uri="http://schemas.openxmlformats.org/drawingml/2006/picture">
                <pic:pic>
                  <pic:nvPicPr>
                    <pic:cNvPr descr="figures/fig_4_0_pool_by_year.png" id="47" name="Picture"/>
                    <pic:cNvPicPr>
                      <a:picLocks noChangeArrowheads="1" noChangeAspect="1"/>
                    </pic:cNvPicPr>
                  </pic:nvPicPr>
                  <pic:blipFill>
                    <a:blip r:embed="rId4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4.0,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17.107 doanh nghiệp = 16,9%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48"/>
    <w:bookmarkStart w:id="52" w:name="Xdd19b3ee5869884c11531c8fa1248eb07b4817a"/>
    <w:p>
      <w:pPr>
        <w:pStyle w:val="Heading5"/>
      </w:pPr>
      <w:r>
        <w:t xml:space="preserve">2.3.1.2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(mẫu phụ đủ dữ liệu năng suất, productivity-complete subset).</w:t>
      </w:r>
    </w:p>
    <w:p>
      <w:pPr>
        <w:pStyle w:val="BlockText"/>
      </w:pPr>
      <w:r>
        <w:rPr>
          <w:bCs/>
          <w:b/>
        </w:rPr>
        <w:t xml:space="preserve">Ghi chú đầu bảng (header note)</w:t>
      </w:r>
      <w:r>
        <w:t xml:space="preserve">: Cột</w:t>
      </w:r>
      <w:r>
        <w:t xml:space="preserve"> </w:t>
      </w:r>
      <w:r>
        <w:rPr>
          <w:rStyle w:val="VerbatimChar"/>
        </w:rPr>
        <w:t xml:space="preserve">n_firms</w:t>
      </w:r>
      <w:r>
        <w:t xml:space="preserve"> </w:t>
      </w:r>
      <w:r>
        <w:t xml:space="preserve">ở Bảng 4.1 là</w:t>
      </w:r>
      <w:r>
        <w:t xml:space="preserve"> </w:t>
      </w:r>
      <w:r>
        <w:rPr>
          <w:bCs/>
          <w:b/>
        </w:rPr>
        <w:t xml:space="preserve">số doanh nghiệp có đầy đủ dữ liệu log năng suất</w:t>
      </w:r>
      <w:r>
        <w:t xml:space="preserve"> </w:t>
      </w:r>
      <w:r>
        <w:t xml:space="preserve">(productivity-complete subset, n=86.457), khác với</w:t>
      </w:r>
      <w:r>
        <w:t xml:space="preserve"> </w:t>
      </w:r>
      <w:r>
        <w:rPr>
          <w:bCs/>
          <w:b/>
        </w:rPr>
        <w:t xml:space="preserve">tổng pool mô tả là 101.185 doanh nghiệp</w:t>
      </w:r>
      <w:r>
        <w:t xml:space="preserve"> </w:t>
      </w:r>
      <w:r>
        <w:t xml:space="preserve">(Mục 4.1, dùng cho các thống kê không đòi hỏi biến năng suất). Tương tự, cột</w:t>
      </w:r>
      <w:r>
        <w:t xml:space="preserve"> </w:t>
      </w:r>
      <w:r>
        <w:rPr>
          <w:rStyle w:val="VerbatimChar"/>
        </w:rPr>
        <w:t xml:space="preserve">Cặp QG×năm</w:t>
      </w:r>
      <w:r>
        <w:t xml:space="preserve"> </w:t>
      </w:r>
      <w:r>
        <w:t xml:space="preserve">ở đây đếm số cặp quốc gia × năm còn lại sau khi loại các cặp không đủ quan sát để ước lượng phân tán năng suất, nên cộng bằng</w:t>
      </w:r>
      <w:r>
        <w:t xml:space="preserve"> </w:t>
      </w:r>
      <w:r>
        <w:rPr>
          <w:bCs/>
          <w:b/>
        </w:rPr>
        <w:t xml:space="preserve">103 cặp</w:t>
      </w:r>
      <w:r>
        <w:t xml:space="preserve"> </w:t>
      </w:r>
      <w:r>
        <w:t xml:space="preserve">chứ không phải 108 cặp của tổng pool.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tỷ số phân tán Singapore (1,03) so với Vùng Vịnh (0,49) ≈</w:t>
      </w:r>
      <w:r>
        <w:rPr>
          <w:iCs/>
          <w:i/>
        </w:rPr>
        <w:t xml:space="preserve"> </w:t>
      </w:r>
      <w:r>
        <w:rPr>
          <w:bCs/>
          <w:b/>
          <w:iCs/>
          <w:i/>
        </w:rPr>
        <w:t xml:space="preserve">2,1 lần</w:t>
      </w:r>
      <w:r>
        <w:rPr>
          <w:iCs/>
          <w:i/>
        </w:rPr>
        <w:t xml:space="preserve">. SIDS row gồm Kiribati 2025 (n=150, sd log 1,48).</w:t>
      </w:r>
    </w:p>
    <w:p>
      <w:pPr>
        <w:pStyle w:val="BodyText"/>
      </w:pPr>
      <w:r>
        <w:rPr>
          <w:iCs/>
          <w:i/>
        </w:rPr>
        <w:t xml:space="preserve">Ghi chú đối chiếu n_firms (Bảng 4.1 vs Mục 4.1)</w:t>
      </w:r>
      <w:r>
        <w:t xml:space="preserve">: Chênh lệch giữa tổng pool mô tả (101.185) và mẫu phụ đủ dữ liệu năng suất (86.457, ≈ −14,6%) là hệ quả của ràng buộc khả dụng đồng thời ba biến cấu thành log năng suất (doanh thu, số lao động, năm tham chiếu). Mức loại bỏ không đồng đều giữa các phân nhóm con: Advanced −10,8%, Upper-middle −9,1%, Emerging −5,1%, SIDS −20,0%, và</w:t>
      </w:r>
      <w:r>
        <w:t xml:space="preserve"> </w:t>
      </w:r>
      <w:r>
        <w:rPr>
          <w:bCs/>
          <w:b/>
        </w:rPr>
        <w:t xml:space="preserve">Frontier mất nhiều nhất (−34,2%, từ 28.678 còn 18.877)</w:t>
      </w:r>
      <w:r>
        <w:t xml:space="preserve">. Tỷ lệ loại bỏ Frontier cao bất thường vì nhóm này tập hợp các nền kinh tế dùng schema PICS3/MENA-WBES cũ (2009–2012) cùng các vùng xung đột (Afghanistan, Yemen, Iraq) nơi câu hỏi doanh thu (</w:t>
      </w:r>
      <w:r>
        <w:rPr>
          <w:rStyle w:val="VerbatimChar"/>
        </w:rPr>
        <w:t xml:space="preserve">d2</w:t>
      </w:r>
      <w:r>
        <w:t xml:space="preserve">) và số lao động (</w:t>
      </w:r>
      <w:r>
        <w:rPr>
          <w:rStyle w:val="VerbatimChar"/>
        </w:rPr>
        <w:t xml:space="preserve">l1</w:t>
      </w:r>
      <w:r>
        <w:t xml:space="preserve">) có tỷ lệ khuyết và từ chối trả lời cao, đồng thời nhiều doanh nghiệp Frontier chỉ khai báo biến mô tả (website, FDI) mà bỏ trống biến tài chính cần để dựng log năng suất. Vì vậy các trị số mô tả không đòi hỏi năng suất (FSTS, website, đổi mới ở Bảng 4.3–4.6) vẫn dùng tổng pool 101.185, còn các trị số phân tán năng suất (Bảng 4.1) dùng mẫu phụ 86.457; hai con số phục vụ hai mục đích khác nhau và không mâu thuẫn.</w:t>
      </w:r>
    </w:p>
    <w:p>
      <w:pPr>
        <w:pStyle w:val="CaptionedFigure"/>
      </w:pPr>
      <w:r>
        <w:drawing>
          <wp:inline>
            <wp:extent cx="5753100" cy="3401496"/>
            <wp:effectExtent b="0" l="0" r="0" t="0"/>
            <wp:docPr descr="Hình 4.2, Phân phối năng suất theo 6 phân nhóm con (kernel density, n=101.185)" title="" id="50" name="Picture"/>
            <a:graphic>
              <a:graphicData uri="http://schemas.openxmlformats.org/drawingml/2006/picture">
                <pic:pic>
                  <pic:nvPicPr>
                    <pic:cNvPr descr="figures/fig_4_2_productivity_density.png" id="51" name="Picture"/>
                    <pic:cNvPicPr>
                      <a:picLocks noChangeArrowheads="1" noChangeAspect="1"/>
                    </pic:cNvPicPr>
                  </pic:nvPicPr>
                  <pic:blipFill>
                    <a:blip r:embed="rId49"/>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4.2,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là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(4) tỷ số P90/P10 tăng đơn điệu theo phân nhóm con; (5) bằng chứng cho H5, tức điều tiết thể chế (institutional moderation).</w:t>
      </w:r>
    </w:p>
    <w:bookmarkEnd w:id="52"/>
    <w:bookmarkStart w:id="53" w:name="Xcc3eee4fbea372afb82cb0ae0b2af37656e40ee"/>
    <w:p>
      <w:pPr>
        <w:pStyle w:val="Heading5"/>
      </w:pPr>
      <w:r>
        <w:t xml:space="preserve">2.3.1.3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cho thấy phân phối phân cực mạnh; SIDS có CAGR việc làm cao nhất.</w:t>
      </w:r>
    </w:p>
    <w:bookmarkEnd w:id="53"/>
    <w:bookmarkStart w:id="54" w:name="X6ea576e0e3fd0e159d48e7775c34a2628d38d6f"/>
    <w:p>
      <w:pPr>
        <w:pStyle w:val="Heading5"/>
      </w:pPr>
      <w:r>
        <w:t xml:space="preserve">2.3.1.4 Thực trạng đổi mới sáng tạo và năng lực số</w:t>
      </w:r>
    </w:p>
    <w:bookmarkEnd w:id="54"/>
    <w:bookmarkEnd w:id="55"/>
    <w:bookmarkStart w:id="56" w:name="Xfa0108040495fc910da2f989f9c46818846f5f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 Nhóm 7.</w:t>
      </w:r>
    </w:p>
    <w:p>
      <w:pPr>
        <w:pStyle w:val="FirstParagraph"/>
      </w:pPr>
      <w:r>
        <w:t xml:space="preserve">WBES tổ chức các chỉ số doanh nghiệp thành</w:t>
      </w:r>
      <w:r>
        <w:t xml:space="preserve"> </w:t>
      </w:r>
      <w:r>
        <w:rPr>
          <w:bCs/>
          <w:b/>
        </w:rPr>
        <w:t xml:space="preserve">5 lĩnh vực chính thức (5 indicator domains)</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định vị phạm vi đo lường của §4.4.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(phân biệt rõ trong §4.7.5)</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mà Đỗ &amp; Phan (2026,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56"/>
    <w:bookmarkStart w:id="57" w:name="X3d285362798247fb6677c6c4e1561f49678ad58"/>
    <w:p>
      <w:pPr>
        <w:pStyle w:val="Heading4"/>
      </w:pPr>
      <w:r>
        <w:t xml:space="preserve">4.4.5 Tái định hình</w:t>
      </w:r>
      <w:r>
        <w:t xml:space="preserve"> </w:t>
      </w:r>
      <w:r>
        <w:t xml:space="preserve">“</w:t>
      </w:r>
      <w:r>
        <w:t xml:space="preserve">Năng lực số</w:t>
      </w:r>
      <w:r>
        <w:t xml:space="preserve">”</w:t>
      </w:r>
      <w:r>
        <w:t xml:space="preserve"> </w:t>
      </w:r>
      <w:r>
        <w:t xml:space="preserve">—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w:t>
      </w:r>
      <w:r>
        <w:t xml:space="preserve"> </w:t>
      </w:r>
      <w:r>
        <w:t xml:space="preserve">“</w:t>
      </w:r>
      <w:r>
        <w:t xml:space="preserve">Năng lực số (DAI)</w:t>
      </w:r>
      <w:r>
        <w:t xml:space="preserve">”</w:t>
      </w:r>
      <w:r>
        <w:t xml:space="preserve">.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w:t>
      </w:r>
      <w:r>
        <w:t xml:space="preserve"> </w:t>
      </w:r>
      <w:r>
        <w:t xml:space="preserve">“</w:t>
      </w:r>
      <w:r>
        <w:t xml:space="preserve">số hóa làm giảm năng suất ở Singapore/Hàn Quốc/Hong Kong</w:t>
      </w:r>
      <w:r>
        <w:t xml:space="preserve">”</w:t>
      </w:r>
      <w:r>
        <w:t xml:space="preserve">. Nhưng đây là</w:t>
      </w:r>
      <w:r>
        <w:t xml:space="preserve"> </w:t>
      </w:r>
      <w:r>
        <w:rPr>
          <w:bCs/>
          <w:b/>
        </w:rPr>
        <w:t xml:space="preserve">ảo ảnh thống kê</w:t>
      </w:r>
      <w:r>
        <w:t xml:space="preserve"> </w:t>
      </w:r>
      <w:r>
        <w:t xml:space="preserve">do đo lường sơ sài, không phải thực tế kinh tế. Một ẩn dụ minh họa (tác giả, ghi chú phân tích nội bộ, 2026): đo lường năng lực số bằng website nhị phân chẳng khác nào đánh giá hiệu suất một mạng lưới logistic vận hành bằng AI hiện đại nhưng lại dùng bản đồ trạm điện tín thế kỷ 19.</w:t>
      </w:r>
    </w:p>
    <w:p>
      <w:pPr>
        <w:pStyle w:val="BodyText"/>
      </w:pPr>
      <w:r>
        <w:rPr>
          <w:bCs/>
          <w:b/>
        </w:rPr>
        <w:t xml:space="preserve">Đề xuất tái định danh biến</w:t>
      </w:r>
      <w:r>
        <w:t xml:space="preserve">: Đổi tên biến trong Spec 1 từ</w:t>
      </w:r>
      <w:r>
        <w:t xml:space="preserve"> </w:t>
      </w:r>
      <w:r>
        <w:t xml:space="preserve">“</w:t>
      </w:r>
      <w:r>
        <w:t xml:space="preserve">DAI / Năng lực số / Chuyển đổi số</w:t>
      </w:r>
      <w:r>
        <w:t xml:space="preserve">”</w:t>
      </w:r>
      <w:r>
        <w:t xml:space="preserve"> </w:t>
      </w:r>
      <w:r>
        <w:t xml:space="preserve">sang</w:t>
      </w:r>
      <w:r>
        <w:t xml:space="preserve"> </w:t>
      </w:r>
      <w:r>
        <w:rPr>
          <w:bCs/>
          <w:b/>
        </w:rPr>
        <w:t xml:space="preserve">“</w:t>
      </w:r>
      <w:r>
        <w:rPr>
          <w:bCs/>
          <w:b/>
        </w:rPr>
        <w:t xml:space="preserve">Sự hiện diện số cơ bản (Tier-1 Digital Presence)</w:t>
      </w:r>
      <w:r>
        <w:rPr>
          <w:bCs/>
          <w:b/>
        </w:rPr>
        <w:t xml:space="preserve">”</w:t>
      </w:r>
      <w:r>
        <w:t xml:space="preserve">: phạm vi hẹp hơn, khiêm tốn hơn, thừa nhận rằng Spec 1 chỉ đo</w:t>
      </w:r>
      <w:r>
        <w:t xml:space="preserve"> </w:t>
      </w:r>
      <w:r>
        <w:rPr>
          <w:iCs/>
          <w:i/>
        </w:rPr>
        <w:t xml:space="preserve">“</w:t>
      </w:r>
      <w:r>
        <w:rPr>
          <w:iCs/>
          <w:i/>
        </w:rPr>
        <w:t xml:space="preserve">bức số hóa tài liệu</w:t>
      </w:r>
      <w:r>
        <w:rPr>
          <w:iCs/>
          <w:i/>
        </w:rPr>
        <w:t xml:space="preserve">”</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w:t>
      </w:r>
      <w:r>
        <w:rPr>
          <w:iCs/>
          <w:i/>
        </w:rPr>
        <w:t xml:space="preserve">Sự hiện diện số cơ bản đã bão hòa ở các nước tiên tiến từ lâu. Vì vậy biến này không còn discriminate năng suất giữa các firms ở Advanced.</w:t>
      </w:r>
      <w:r>
        <w:rPr>
          <w:iCs/>
          <w:i/>
        </w:rPr>
        <w:t xml:space="preserve">”</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w:t>
      </w:r>
      <w:r>
        <w:rPr>
          <w:bCs/>
          <w:b/>
        </w:rPr>
        <w:t xml:space="preserve"> </w:t>
      </w:r>
      <w:r>
        <w:rPr>
          <w:bCs/>
          <w:b/>
        </w:rPr>
        <w:t xml:space="preserve">“</w:t>
      </w:r>
      <w:r>
        <w:rPr>
          <w:bCs/>
          <w:b/>
        </w:rPr>
        <w:t xml:space="preserve">Tier-1 Digital Presence</w:t>
      </w:r>
      <w:r>
        <w:rPr>
          <w:bCs/>
          <w:b/>
        </w:rPr>
        <w:t xml:space="preserve">”</w:t>
      </w:r>
      <w:r>
        <w:t xml:space="preserve"> </w:t>
      </w:r>
      <w:r>
        <w:t xml:space="preserve">(chỉ documents online) sang</w:t>
      </w:r>
      <w:r>
        <w:t xml:space="preserve"> </w:t>
      </w:r>
      <w:r>
        <w:rPr>
          <w:bCs/>
          <w:b/>
        </w:rPr>
        <w:t xml:space="preserve">trạng thái động</w:t>
      </w:r>
      <w:r>
        <w:rPr>
          <w:bCs/>
          <w:b/>
        </w:rPr>
        <w:t xml:space="preserve"> </w:t>
      </w:r>
      <w:r>
        <w:rPr>
          <w:bCs/>
          <w:b/>
        </w:rPr>
        <w:t xml:space="preserve">“</w:t>
      </w:r>
      <w:r>
        <w:rPr>
          <w:bCs/>
          <w:b/>
        </w:rPr>
        <w:t xml:space="preserve">Tier-2 Digital Transformation</w:t>
      </w:r>
      <w:r>
        <w:rPr>
          <w:bCs/>
          <w:b/>
        </w:rPr>
        <w:t xml:space="preserve">”</w:t>
      </w:r>
      <w:r>
        <w:t xml:space="preserve"> </w:t>
      </w:r>
      <w:r>
        <w:t xml:space="preserve">(business models reshaped, kế thừa Banalieva &amp; Dhanaraj, 2019 layered framework).</w:t>
      </w:r>
    </w:p>
    <w:bookmarkEnd w:id="57"/>
    <w:bookmarkStart w:id="62" w:name="X38a0a6c6411b5adcdadbe8a42712fac8d35d825"/>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(Khung 4-Tier Verhoef + CDCM); phân tích Singapore; phân tích Việt Nam.</w:t>
      </w:r>
    </w:p>
    <w:p>
      <w:pPr>
        <w:pStyle w:val="FirstParagraph"/>
      </w:pPr>
      <w:r>
        <w:t xml:space="preserve">Ghi chú phân tích nội bộ của tác giả (2026) chỉ ra một</w:t>
      </w:r>
      <w:r>
        <w:t xml:space="preserve"> </w:t>
      </w:r>
      <w:r>
        <w:rPr>
          <w:bCs/>
          <w:b/>
        </w:rPr>
        <w:t xml:space="preserve">tương phản cốt lõi</w:t>
      </w:r>
      <w:r>
        <w:t xml:space="preserve"> </w:t>
      </w:r>
      <w:r>
        <w:t xml:space="preserve">giữa hai bản thảo: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tức observable signature của CIMT (kênh institutional-void amplification) trong điều kiện số hóa, theo định vị phân tầng tại luận án Chương 2 §2.5.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iCs/>
          <w:i/>
        </w:rPr>
        <w:t xml:space="preserve">Ghi chú cỡ mẫu: Việt Nam n=2.958 là mẫu phụ đủ biến hồi quy (complete-case), nhỏ hơn tổng n=3.077 doanh nghiệp Việt Nam trong pool (chênh 119 doanh nghiệp, 3,9%) do dữ liệu khuyết ở một số biến giải thích, xem ghi chú đối chiếu cỡ mẫu tại §5.3 file 16.</w:t>
      </w:r>
    </w:p>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ở §4.4.5)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phân tích Singapore.</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hàm ý cho data collection tương lai (limitations §7.3.4 file 16).</w:t>
      </w:r>
    </w:p>
    <w:bookmarkStart w:id="61" w:name="thực-trạng-cấu-trúc-doanh-nghiệp"/>
    <w:p>
      <w:pPr>
        <w:pStyle w:val="Heading5"/>
      </w:pPr>
      <w:r>
        <w:t xml:space="preserve">2.3.1.5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CaptionedFigure"/>
      </w:pPr>
      <w:r>
        <w:drawing>
          <wp:inline>
            <wp:extent cx="5753100" cy="3545232"/>
            <wp:effectExtent b="0" l="0" r="0" t="0"/>
            <wp:docPr descr="Hình 4.6, Phân phối quy mô doanh nghiệp theo phân nhóm con (n=101.185)" title="" id="59" name="Picture"/>
            <a:graphic>
              <a:graphicData uri="http://schemas.openxmlformats.org/drawingml/2006/picture">
                <pic:pic>
                  <pic:nvPicPr>
                    <pic:cNvPr descr="figures/fig_4_6_firm_size.png" id="60" name="Picture"/>
                    <pic:cNvPicPr>
                      <a:picLocks noChangeArrowheads="1" noChangeAspect="1"/>
                    </pic:cNvPicPr>
                  </pic:nvPicPr>
                  <pic:blipFill>
                    <a:blip r:embed="rId58"/>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4.6,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End w:id="61"/>
    <w:bookmarkEnd w:id="62"/>
    <w:bookmarkStart w:id="63" w:name="X59024c0b6ba75f32b72136ec1a93cd061cbee07"/>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numPr>
          <w:ilvl w:val="0"/>
          <w:numId w:val="1008"/>
        </w:numPr>
      </w:pPr>
      <w:r>
        <w:rPr>
          <w:bCs/>
          <w:b/>
        </w:rPr>
        <w:t xml:space="preserve">Rào cản 1,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numPr>
          <w:ilvl w:val="0"/>
          <w:numId w:val="1008"/>
        </w:numPr>
      </w:pP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numPr>
          <w:ilvl w:val="0"/>
          <w:numId w:val="1008"/>
        </w:numPr>
      </w:pPr>
      <w:r>
        <w:rPr>
          <w:bCs/>
          <w:b/>
        </w:rPr>
        <w:t xml:space="preserve">Rào cản 3,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§4.4</w:t>
      </w:r>
      <w:r>
        <w:t xml:space="preserve"> </w:t>
      </w:r>
      <w:r>
        <w:rPr>
          <w:iCs/>
          <w:i/>
        </w:rPr>
        <w:t xml:space="preserve">Δ R&amp;D Emerging giảm -42,1 đpt</w:t>
      </w:r>
      <w:r>
        <w:t xml:space="preserve">.</w:t>
      </w:r>
    </w:p>
    <w:p>
      <w:pPr>
        <w:numPr>
          <w:ilvl w:val="0"/>
          <w:numId w:val="1008"/>
        </w:numPr>
      </w:pP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FirstParagraph"/>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§4.4 hiện đang phân tích.</w:t>
      </w:r>
    </w:p>
    <w:bookmarkEnd w:id="63"/>
    <w:bookmarkStart w:id="72" w:name="X139dc698771487ae151b0ada3bdbb2cf58e2e95"/>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numPr>
          <w:ilvl w:val="0"/>
          <w:numId w:val="1009"/>
        </w:numPr>
      </w:pP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numPr>
          <w:ilvl w:val="0"/>
          <w:numId w:val="1009"/>
        </w:numPr>
      </w:pP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numPr>
          <w:ilvl w:val="0"/>
          <w:numId w:val="1009"/>
        </w:numPr>
      </w:pP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FirstParagraph"/>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Start w:id="70" w:name="bức-tranh-thay-đổi-theo-thời-gian"/>
    <w:p>
      <w:pPr>
        <w:pStyle w:val="Heading5"/>
      </w:pPr>
      <w:r>
        <w:t xml:space="preserve">2.3.1.6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CaptionedFigure"/>
      </w:pPr>
      <w:r>
        <w:drawing>
          <wp:inline>
            <wp:extent cx="5753100" cy="2590690"/>
            <wp:effectExtent b="0" l="0" r="0" t="0"/>
            <wp:docPr descr="Hình 4.4, Slope chart 2009–2012 vs 2018–2025 (Δ điểm phần trăm 5 chỉ số)" title="" id="65" name="Picture"/>
            <a:graphic>
              <a:graphicData uri="http://schemas.openxmlformats.org/drawingml/2006/picture">
                <pic:pic>
                  <pic:nvPicPr>
                    <pic:cNvPr descr="figures/fig_4_4_growth_pathway.png" id="66" name="Picture"/>
                    <pic:cNvPicPr>
                      <a:picLocks noChangeArrowheads="1" noChangeAspect="1"/>
                    </pic:cNvPicPr>
                  </pic:nvPicPr>
                  <pic:blipFill>
                    <a:blip r:embed="rId64"/>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4.4,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CaptionedFigure"/>
      </w:pPr>
      <w:r>
        <w:drawing>
          <wp:inline>
            <wp:extent cx="5753100" cy="2222977"/>
            <wp:effectExtent b="0" l="0" r="0" t="0"/>
            <wp:docPr descr="Hình 4.7, Spider chart 5 chiều × 2 mốc thời gian (Advanced, Emerging, SIDS)" title="" id="68" name="Picture"/>
            <a:graphic>
              <a:graphicData uri="http://schemas.openxmlformats.org/drawingml/2006/picture">
                <pic:pic>
                  <pic:nvPicPr>
                    <pic:cNvPr descr="figures/fig_4_7_spider_chart.png" id="69" name="Picture"/>
                    <pic:cNvPicPr>
                      <a:picLocks noChangeArrowheads="1" noChangeAspect="1"/>
                    </pic:cNvPicPr>
                  </pic:nvPicPr>
                  <pic:blipFill>
                    <a:blip r:embed="rId67"/>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70"/>
    <w:bookmarkStart w:id="71" w:name="Xf9df93bb474e03b33e5eb8b9166e3e3f4caa8ec"/>
    <w:p>
      <w:pPr>
        <w:pStyle w:val="Heading5"/>
      </w:pPr>
      <w:r>
        <w:t xml:space="preserve">2.3.1.7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các nghiên cứu IB, mở rộng từ 17 nước châu Á mới nổi (Đỗ &amp; Phan, 2026,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đã được tách trực quan trong</w:t>
      </w:r>
      <w:r>
        <w:t xml:space="preserve"> </w:t>
      </w:r>
      <w:r>
        <w:rPr>
          <w:bCs/>
          <w:b/>
        </w:rPr>
        <w:t xml:space="preserve">Bảng 4.1</w:t>
      </w:r>
      <w:r>
        <w:t xml:space="preserve">.</w:t>
      </w:r>
    </w:p>
    <w:p>
      <w:pPr>
        <w:pStyle w:val="BodyText"/>
      </w:pPr>
      <w:r>
        <w:rPr>
          <w:bCs/>
          <w:b/>
        </w:rPr>
        <w:t xml:space="preserve">(iii) Dị biệt nội bộ phân nhóm Emerging, 3 phân nhóm con</w:t>
      </w:r>
      <w:r>
        <w:t xml:space="preserve"> </w:t>
      </w:r>
      <w:r>
        <w:rPr>
          <w:iCs/>
          <w:i/>
        </w:rPr>
        <w:t xml:space="preserve">(NEW D1, §4.9)</w:t>
      </w:r>
      <w:r>
        <w:t xml:space="preserve">. FDI dẫn dắt SEA (VNM+IDN+PHL, FSTS 13,2%) ≠ dân số lớn (IND+LKA+JOR, FSTS 7,2%) ≠ tài nguyên (MNG, FSTS 5,0%). TCI ngược dấu:</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w:t>
      </w:r>
      <w:r>
        <w:rPr>
          <w:bCs/>
          <w:b/>
        </w:rPr>
        <w:t xml:space="preserve"> </w:t>
      </w:r>
      <w:r>
        <w:rPr>
          <w:bCs/>
          <w:b/>
        </w:rPr>
        <w:t xml:space="preserve">“</w:t>
      </w:r>
      <w:r>
        <w:rPr>
          <w:bCs/>
          <w:b/>
        </w:rPr>
        <w:t xml:space="preserve">high digital leapfrog</w:t>
      </w:r>
      <w:r>
        <w:rPr>
          <w:bCs/>
          <w:b/>
        </w:rPr>
        <w:t xml:space="preserve">”</w:t>
      </w:r>
      <w:r>
        <w:rPr>
          <w:bCs/>
          <w:b/>
        </w:rPr>
        <w:t xml:space="preserve"> </w:t>
      </w:r>
      <w:r>
        <w:rPr>
          <w:bCs/>
          <w:b/>
        </w:rPr>
        <w:t xml:space="preserve">(Fiji, Maldives) và</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rPr>
          <w:bCs/>
          <w:b/>
        </w:rPr>
        <w:t xml:space="preserve">: Cần phân biệt</w:t>
      </w:r>
      <w:r>
        <w:rPr>
          <w:bCs/>
          <w:b/>
        </w:rPr>
        <w:t xml:space="preserve"> </w:t>
      </w:r>
      <w:r>
        <w:t xml:space="preserve">Tier-1 Digital Presence** (website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w:t>
      </w:r>
      <w:r>
        <w:t xml:space="preserve"> </w:t>
      </w:r>
      <w:r>
        <w:t xml:space="preserve">“</w:t>
      </w:r>
      <w:r>
        <w:t xml:space="preserve">số hóa làm giảm năng suất</w:t>
      </w:r>
      <w:r>
        <w:t xml:space="preserve">”</w:t>
      </w:r>
      <w:r>
        <w:t xml:space="preserve"> </w:t>
      </w:r>
      <w:r>
        <w:t xml:space="preserve">mà là</w:t>
      </w:r>
      <w:r>
        <w:t xml:space="preserve"> </w:t>
      </w:r>
      <w:r>
        <w:rPr>
          <w:bCs/>
          <w:b/>
        </w:rPr>
        <w:t xml:space="preserve">artifact của Tier-1 saturation</w:t>
      </w:r>
      <w:r>
        <w:t xml:space="preserve"> </w:t>
      </w:r>
      <w:r>
        <w:t xml:space="preserve">ở các nước tiên tiến, xem §4.4.5 ICT exclusion test.</w:t>
      </w:r>
    </w:p>
    <w:p>
      <w:pPr>
        <w:pStyle w:val="BodyText"/>
      </w:pPr>
      <w:r>
        <w:rPr>
          <w:bCs/>
          <w:b/>
        </w:rPr>
        <w:t xml:space="preserve">(vii) Pattern phi tuyến FDI ≥10%</w:t>
      </w:r>
      <w:r>
        <w:t xml:space="preserve">, dạng chữ U với cực tiểu Emerging (4,7%): Advanced 11,1% → Upper-middle 8,4% → Emerging 4,7% → Frontier 5,9% →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17.107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numPr>
          <w:ilvl w:val="0"/>
          <w:numId w:val="1010"/>
        </w:numPr>
        <w:pStyle w:val="Compact"/>
      </w:pPr>
      <w:r>
        <w:rPr>
          <w:bCs/>
          <w:b/>
        </w:rPr>
        <w:t xml:space="preserve">Hệ giả thuyết H1–H6 (phát biểu hình thức)</w:t>
      </w:r>
      <w:r>
        <w:t xml:space="preserve">. Mỗi giả thuyết nêu rõ dấu dự đoán, cơ chế lý thuyết được định danh và liên kết vận hành hóa với bằng chứng mô tả của CĐ1. Đây là</w:t>
      </w:r>
      <w:r>
        <w:t xml:space="preserve"> </w:t>
      </w:r>
      <w:r>
        <w:rPr>
          <w:iCs/>
          <w:i/>
        </w:rPr>
        <w:t xml:space="preserve">existence evidence</w:t>
      </w:r>
      <w:r>
        <w:t xml:space="preserve"> </w:t>
      </w:r>
      <w:r>
        <w:t xml:space="preserve">(bằng chứng tồn tại) của CĐ1;</w:t>
      </w:r>
      <w:r>
        <w:t xml:space="preserve"> </w:t>
      </w:r>
      <w:r>
        <w:rPr>
          <w:iCs/>
          <w:i/>
        </w:rPr>
        <w:t xml:space="preserve">magnitude evidence</w:t>
      </w:r>
      <w:r>
        <w:t xml:space="preserve"> </w:t>
      </w:r>
      <w:r>
        <w:t xml:space="preserve">(bằng chứng cường độ) sẽ do mô hình kiểm định của CĐ2 và phân tích tổng hợp bổ sung.</w:t>
      </w:r>
    </w:p>
    <w:p>
      <w:pPr>
        <w:numPr>
          <w:ilvl w:val="0"/>
          <w:numId w:val="1011"/>
        </w:numPr>
      </w:pPr>
      <w:r>
        <w:rPr>
          <w:bCs/>
          <w:b/>
        </w:rPr>
        <w:t xml:space="preserve">H1 (Quan hệ quốc tế hóa–năng suất phi tuyến)</w:t>
      </w:r>
      <w:r>
        <w:t xml:space="preserve">: Quan hệ giữa cường độ xuất khẩu (FSTS) và log năng suất có dạng chữ U ngược (inverted-U): hệ số bậc nhất β₁ &gt; 0 và hệ số bậc hai β₂ &lt; 0. Cơ chế là chi phí điều phối xuyên biên giới tăng phi tuyến vượt một ngưỡng tối ưu (Lu &amp; Beamish, 2004), khuếch đại bởi chi phí giao dịch thể chế (Coase, 1937; Williamson, 1985). Vận hành hóa: FSTS =</w:t>
      </w:r>
      <w:r>
        <w:t xml:space="preserve"> </w:t>
      </w:r>
      <w:r>
        <w:rPr>
          <w:rStyle w:val="VerbatimChar"/>
        </w:rPr>
        <w:t xml:space="preserve">d3b + d3c</w:t>
      </w:r>
      <w:r>
        <w:t xml:space="preserve">, FSTS² là bình phương đã trung tâm hóa; kiểm định Lind–Mehlum cho điểm uốn nội miền. Bằng chứng CĐ1 (Mục 6.1.2): điểm uốn Việt Nam ≈ 39–46% (Lind–Mehlum p &lt; 0,013), Trung Quốc ≈ 47,2–49,4% (kiểm định Paternoster bền vững).</w:t>
      </w:r>
    </w:p>
    <w:p>
      <w:pPr>
        <w:numPr>
          <w:ilvl w:val="0"/>
          <w:numId w:val="1011"/>
        </w:numPr>
      </w:pPr>
      <w:r>
        <w:rPr>
          <w:bCs/>
          <w:b/>
        </w:rPr>
        <w:t xml:space="preserve">H2 (TCI điều tiết quan hệ I–P)</w:t>
      </w:r>
      <w:r>
        <w:t xml:space="preserve">: Năng lực công nghệ (TCI = R&amp;D + ISO) điều tiết quan hệ FSTS–năng suất theo hướng</w:t>
      </w:r>
      <w:r>
        <w:t xml:space="preserve"> </w:t>
      </w:r>
      <w:r>
        <w:rPr>
          <w:iCs/>
          <w:i/>
        </w:rPr>
        <w:t xml:space="preserve">làm phẳng</w:t>
      </w:r>
      <w:r>
        <w:t xml:space="preserve"> </w:t>
      </w:r>
      <w:r>
        <w:t xml:space="preserve">đường cong chữ U ngược (hệ số tương tác TCI × FSTS² &gt; 0, tức giảm độ cong âm). Cơ chế là năng lực hấp thụ (absorptive capacity, Cohen &amp; Levinthal, 1990) giúp doanh nghiệp duy trì lợi ích quốc tế hóa ở mức xuất khẩu cao hơn. Vận hành hóa: TCI là chỉ số tổ hợp aspirational; tương tác TCI × FSTS và TCI × FSTS². Bằng chứng CĐ1 (Bảng 6.1): tương quan TCI–năng suất dương ở Advanced (+0,128) và SIDS (+0,155); ở Việt Nam TCI vận hành như</w:t>
      </w:r>
      <w:r>
        <w:t xml:space="preserve"> </w:t>
      </w:r>
      <w:r>
        <w:rPr>
          <w:iCs/>
          <w:i/>
        </w:rPr>
        <w:t xml:space="preserve">scarce advantage</w:t>
      </w:r>
      <w:r>
        <w:t xml:space="preserve"> </w:t>
      </w:r>
      <w:r>
        <w:t xml:space="preserve">(TCIz IV β = 1,639, p &lt; 0,001).</w:t>
      </w:r>
    </w:p>
    <w:p>
      <w:pPr>
        <w:numPr>
          <w:ilvl w:val="0"/>
          <w:numId w:val="1011"/>
        </w:numPr>
      </w:pPr>
      <w:r>
        <w:rPr>
          <w:bCs/>
          <w:b/>
        </w:rPr>
        <w:t xml:space="preserve">H3 (DAI có hiệu lực phụ thuộc cấp tầng và bối cảnh)</w:t>
      </w:r>
      <w:r>
        <w:t xml:space="preserve">: Tác động của áp dụng số (DAI) lên năng suất phụ thuộc điều kiện cấp tầng số hóa và chế độ thể chế: ở cấp Tier-1 (website đơn thành phần) tại Advanced đã bão hòa, hệ số tiến về không hoặc âm; ở cấp Tier-1+2 (đa thành phần) hệ số dương và tương tác DAI × FSTS² &gt; 0. Cơ chế là Mô hình Năng lực số phụ thuộc bối cảnh (CDCM) đặt trên khung 4 tầng của Verhoef et al. (2021): công cụ số chỉ tạo đòn bẩy khi cấp độ số hóa tương thích với mật độ giao dịch quốc tế. Vận hành hóa: DAI Tier-1 (website nhị phân, Spec 1) và DAI Tier-1+2 (5 thành phần, Spec 2). Bằng chứng CĐ1 (Bảng 4.4.5.1, 6.1.2): hệ số âm giả tạo −0,129 ở Advanced biến mất sau ICT exclusion test; tương tác DAI × FSTS² = +3,119 (p = 0,005) ở Singapore so với DAI × FSTS = −0,912 (p = 0,043) ở Việt Nam Tier-1.</w:t>
      </w:r>
    </w:p>
    <w:p>
      <w:pPr>
        <w:numPr>
          <w:ilvl w:val="0"/>
          <w:numId w:val="1011"/>
        </w:numPr>
      </w:pPr>
      <w:r>
        <w:rPr>
          <w:bCs/>
          <w:b/>
        </w:rPr>
        <w:t xml:space="preserve">H4 (Dị biệt theo phân nhóm con thể chế)</w:t>
      </w:r>
      <w:r>
        <w:t xml:space="preserve">: Dấu và cường độ của các hệ số FSTS, TCI, DAI khác biệt có hệ thống giữa các phân nhóm con ICRV (đảo dấu cross-regime), không thể quy về một hệ số chung. Cơ chế là biến thể chế kiểu Các biến thể của chủ nghĩa tư bản (Varieties of Capitalism, Hall &amp; Soskice, 2001) cùng khoảng cách de jure–de facto (Xu, 2024). Vận hành hóa: hiệu ứng cố định (fixed effects) theo</w:t>
      </w:r>
      <w:r>
        <w:t xml:space="preserve"> </w:t>
      </w:r>
      <w:r>
        <w:rPr>
          <w:bCs/>
          <w:b/>
        </w:rPr>
        <w:t xml:space="preserve">8 phân nhóm con</w:t>
      </w:r>
      <w:r>
        <w:t xml:space="preserve"> </w:t>
      </w:r>
      <w:r>
        <w:t xml:space="preserve">(liệt kê ở mục (b)) cùng các số hạng tương tác phân nhóm con × biến cốt lõi. Bằng chứng CĐ1 (Bảng 6.1): bốn lần đảo dấu xuyên phân nhóm con cho FDI, FSTS, TCI, DAI.</w:t>
      </w:r>
    </w:p>
    <w:p>
      <w:pPr>
        <w:numPr>
          <w:ilvl w:val="0"/>
          <w:numId w:val="1011"/>
        </w:numPr>
      </w:pPr>
      <w:r>
        <w:rPr>
          <w:bCs/>
          <w:b/>
        </w:rPr>
        <w:t xml:space="preserve">H5 (Cụm tài nguyên thu hẹp phân tán và đảo chiều phân bổ sai)</w:t>
      </w:r>
      <w:r>
        <w:t xml:space="preserve">: Các nền kinh tế tài nguyên dẫn dắt (Advanced resource-driven Vùng Vịnh) thể hiện phân tán năng suất hẹp hơn và tương quan FSTS–năng suất yếu hơn so với nhóm đổi mới sáng tạo dẫn dắt cùng cấp. Cơ chế là logic nhà nước tô (rentier state, Beblawi, 1987; Hertog, 2010) bóp méo kỷ luật thị trường. Vận hành hóa: chỉ báo phân nhóm con resource-driven và độ lệch chuẩn log năng suất theo cụm. Bằng chứng CĐ1 (Bảng 4.1, Mục 5.2): sd log Vùng Vịnh 0,31–0,49 so với Singapore 1,03 (tỷ số ≈ 2,1 lần).</w:t>
      </w:r>
    </w:p>
    <w:p>
      <w:pPr>
        <w:numPr>
          <w:ilvl w:val="0"/>
          <w:numId w:val="1011"/>
        </w:numPr>
      </w:pPr>
      <w:r>
        <w:rPr>
          <w:bCs/>
          <w:b/>
        </w:rPr>
        <w:t xml:space="preserve">H6 (Chi phí buộc phải quốc tế hóa ở SIDS biên)</w:t>
      </w:r>
      <w:r>
        <w:t xml:space="preserve">: Ở các SIDS Thái Bình Dương biên (đặc biệt Kiribati cực đoan), quan hệ FSTS–năng suất không vận hành theo chữ U ngược (hệ số FSTS không có ý nghĩa thống kê hoặc đảo dấu so với Advanced/Emerging) vì quốc tế hóa là</w:t>
      </w:r>
      <w:r>
        <w:t xml:space="preserve"> </w:t>
      </w:r>
      <w:r>
        <w:rPr>
          <w:iCs/>
          <w:i/>
        </w:rPr>
        <w:t xml:space="preserve">buộc phải</w:t>
      </w:r>
      <w:r>
        <w:t xml:space="preserve"> </w:t>
      </w:r>
      <w:r>
        <w:t xml:space="preserve">chứ không phải lựa chọn tối ưu. Cơ chế là tính dễ tổn thương cấu trúc của nền kinh tế đảo nhỏ (Briguglio, 1995) và mô hình MIRAB (Bertram, 2006), làm thất bại ba điều kiện cấu trúc của đường cong U (Bảng 2.6.1 file 14). Vận hành hóa: chỉ báo phân nhóm con SIDS và số hạng tương tác SIDS × FSTS. Bằng chứng CĐ1 (Mục 5.7): Kiribati 2025 với FSTS 1,03%, FDI 0,7%, website 18,7%, ISO 1,3% là trường hợp biên cực đoan nhất pool.</w:t>
      </w:r>
    </w:p>
    <w:p>
      <w:pPr>
        <w:numPr>
          <w:ilvl w:val="0"/>
          <w:numId w:val="1012"/>
        </w:numPr>
      </w:pPr>
      <w:r>
        <w:rPr>
          <w:bCs/>
          <w:b/>
        </w:rPr>
        <w:t xml:space="preserve">Tám phân nhóm con với hiệu ứng cố định cho CĐ2</w:t>
      </w:r>
      <w:r>
        <w:t xml:space="preserve"> </w:t>
      </w:r>
      <w:r>
        <w:t xml:space="preserve">(số đếm chốt thống nhất là</w:t>
      </w:r>
      <w:r>
        <w:t xml:space="preserve"> </w:t>
      </w:r>
      <w:r>
        <w:rPr>
          <w:bCs/>
          <w:b/>
        </w:rPr>
        <w:t xml:space="preserve">8</w:t>
      </w:r>
      <w:r>
        <w:t xml:space="preserve">). Danh sách rõ ràng: (1) Advanced đổi mới sáng tạo dẫn dắt; (2) Advanced tài nguyên dẫn dắt; (3) Upper-middle; (4) Emerging, FDI dẫn dắt SEA (VNM, IDN, PHL); (5) Emerging, dân số lớn (IND, LKA, JOR); (6) Emerging, tài nguyên (MNG); (7) Frontier; (8) SIDS Thái Bình Dương. Cách đếm này tách phân nhóm con Advanced làm hai (innovation- vs resource-driven, Mục 4.2 + 5.2) và tách phân nhóm con Emerging làm ba (Bảng 4.9), tổng cộng 8.</w:t>
      </w:r>
      <w:r>
        <w:t xml:space="preserve"> </w:t>
      </w:r>
      <w:r>
        <w:rPr>
          <w:bCs/>
          <w:b/>
        </w:rPr>
        <w:t xml:space="preserve">Phương án mở rộng tùy chọn 9 phân nhóm con</w:t>
      </w:r>
      <w:r>
        <w:t xml:space="preserve"> </w:t>
      </w:r>
      <w:r>
        <w:t xml:space="preserve">chỉ xuất hiện như một biến thể kiểm định độ vững, khi tách thêm SIDS thành</w:t>
      </w:r>
      <w:r>
        <w:t xml:space="preserve"> </w:t>
      </w:r>
      <w:r>
        <w:t xml:space="preserve">“</w:t>
      </w:r>
      <w:r>
        <w:t xml:space="preserve">high-digital</w:t>
      </w:r>
      <w:r>
        <w:t xml:space="preserve">”</w:t>
      </w:r>
      <w:r>
        <w:t xml:space="preserve"> </w:t>
      </w:r>
      <w:r>
        <w:t xml:space="preserve">(Fiji, Maldives) so với</w:t>
      </w:r>
      <w:r>
        <w:t xml:space="preserve"> </w:t>
      </w:r>
      <w:r>
        <w:t xml:space="preserve">“</w:t>
      </w:r>
      <w:r>
        <w:t xml:space="preserve">isolated rural</w:t>
      </w:r>
      <w:r>
        <w:t xml:space="preserve">”</w:t>
      </w:r>
      <w:r>
        <w:t xml:space="preserve"> </w:t>
      </w:r>
      <w:r>
        <w:t xml:space="preserve">(Kiribati), xem Bảng 4.10 phát hiện (7) và hàm ý (f); con số nền tảng dùng xuyên CĐ1/CĐ2 là 8.</w:t>
      </w:r>
    </w:p>
    <w:p>
      <w:pPr>
        <w:numPr>
          <w:ilvl w:val="0"/>
          <w:numId w:val="1012"/>
        </w:numPr>
      </w:pPr>
      <w:r>
        <w:rPr>
          <w:bCs/>
          <w:b/>
        </w:rPr>
        <w:t xml:space="preserve">Hai đặc tả mô hình kiểm định vững</w:t>
      </w:r>
      <w:r>
        <w:t xml:space="preserve">: Đặc tả 1: phạm vi đầy đủ (n=101.185); Đặc tả 2: 2018-2025 (n≈50.000, DAI/TCI 5 thành phần).</w:t>
      </w:r>
    </w:p>
    <w:p>
      <w:pPr>
        <w:numPr>
          <w:ilvl w:val="0"/>
          <w:numId w:val="1012"/>
        </w:numPr>
      </w:pPr>
      <w:r>
        <w:rPr>
          <w:bCs/>
          <w:b/>
        </w:rPr>
        <w:t xml:space="preserve">Industry FE + 5 kiểm định vững mẫu con</w:t>
      </w:r>
      <w:r>
        <w:t xml:space="preserve"> </w:t>
      </w:r>
      <w:r>
        <w:rPr>
          <w:iCs/>
          <w:i/>
        </w:rPr>
        <w:t xml:space="preserve">(NEW D3)</w:t>
      </w:r>
      <w:r>
        <w:t xml:space="preserve">.</w:t>
      </w:r>
    </w:p>
    <w:p>
      <w:pPr>
        <w:pStyle w:val="FirstParagraph"/>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End w:id="71"/>
    <w:bookmarkEnd w:id="72"/>
    <w:bookmarkStart w:id="81" w:name="X34a9f8f22bd59439dbbb370c5527a9d482450a4"/>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 Nhóm 7 #64-66.</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w:t>
      </w:r>
      <w:r>
        <w:t xml:space="preserve"> </w:t>
      </w:r>
      <w:r>
        <w:t xml:space="preserve">“</w:t>
      </w:r>
      <w:r>
        <w:t xml:space="preserve">tham nhũng</w:t>
      </w:r>
      <w:r>
        <w:t xml:space="preserve">”</w:t>
      </w:r>
      <w:r>
        <w:t xml:space="preserve"> </w:t>
      </w:r>
      <w:r>
        <w:t xml:space="preserve">trong các nghiên cứu chính sách Việt Nam.</w:t>
      </w:r>
    </w:p>
    <w:p>
      <w:pPr>
        <w:pStyle w:val="BodyText"/>
      </w:pPr>
      <w:r>
        <w:rPr>
          <w:bCs/>
          <w:b/>
        </w:rPr>
        <w:t xml:space="preserve">Bảng 4.7.5</w:t>
      </w:r>
      <w:r>
        <w:t xml:space="preserve">.</w:t>
      </w:r>
      <w:r>
        <w:t xml:space="preserve"> </w:t>
      </w:r>
      <w:r>
        <w:rPr>
          <w:iCs/>
          <w:i/>
        </w:rPr>
        <w:t xml:space="preserve">Phân biệt 3 chỉ số tham nhũng WBES, định nghĩa chính thức + cách đo + ngưỡng cảnh báo.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w:t>
      </w:r>
      <w:r>
        <w:t xml:space="preserve"> </w:t>
      </w:r>
      <w:r>
        <w:t xml:space="preserve">“</w:t>
      </w:r>
      <w:r>
        <w:t xml:space="preserve">phải hối lộ thanh tra thuế</w:t>
      </w:r>
      <w:r>
        <w:t xml:space="preserve">”</w:t>
      </w:r>
      <w:r>
        <w:t xml:space="preserve"> </w:t>
      </w:r>
      <w:r>
        <w:t xml:space="preserve">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r>
        <w:t xml:space="preserve"> </w:t>
      </w:r>
      <w:r>
        <w:t xml:space="preserve">-</w:t>
      </w:r>
      <w:r>
        <w:t xml:space="preserve"> </w:t>
      </w:r>
      <w:r>
        <w:rPr>
          <w:bCs/>
          <w:b/>
        </w:rPr>
        <w:t xml:space="preserve">(1) CĐ1 v3.x</w:t>
      </w:r>
      <w:r>
        <w:t xml:space="preserve"> </w:t>
      </w:r>
      <w:r>
        <w:t xml:space="preserve">sẽ dùng</w:t>
      </w:r>
      <w:r>
        <w:t xml:space="preserve"> </w:t>
      </w:r>
      <w:r>
        <w:t xml:space="preserve">“</w:t>
      </w:r>
      <w:r>
        <w:t xml:space="preserve">Hối lộ</w:t>
      </w:r>
      <w:r>
        <w:t xml:space="preserve">”</w:t>
      </w:r>
      <w:r>
        <w:t xml:space="preserve"> </w:t>
      </w:r>
      <w:r>
        <w:t xml:space="preserve">(Bribery) và</w:t>
      </w:r>
      <w:r>
        <w:t xml:space="preserve"> </w:t>
      </w:r>
      <w:r>
        <w:t xml:space="preserve">“</w:t>
      </w:r>
      <w:r>
        <w:t xml:space="preserve">Tham ô</w:t>
      </w:r>
      <w:r>
        <w:t xml:space="preserve">”</w:t>
      </w:r>
      <w:r>
        <w:t xml:space="preserve"> </w:t>
      </w:r>
      <w:r>
        <w:t xml:space="preserve">(Graft) thay vì</w:t>
      </w:r>
      <w:r>
        <w:t xml:space="preserve"> </w:t>
      </w:r>
      <w:r>
        <w:t xml:space="preserve">“</w:t>
      </w:r>
      <w:r>
        <w:t xml:space="preserve">tham nhũng</w:t>
      </w:r>
      <w:r>
        <w:t xml:space="preserve">”</w:t>
      </w:r>
      <w:r>
        <w:t xml:space="preserve"> </w:t>
      </w:r>
      <w:r>
        <w:t xml:space="preserve">tổng quát khi cite số liệu cụ thể từ WBES. Khi nói chung về vấn đề thể chế hoặc chính sách quốc gia, vẫn có thể dùng</w:t>
      </w:r>
      <w:r>
        <w:t xml:space="preserve"> </w:t>
      </w:r>
      <w:r>
        <w:t xml:space="preserve">“</w:t>
      </w:r>
      <w:r>
        <w:t xml:space="preserve">tham nhũng</w:t>
      </w:r>
      <w:r>
        <w:t xml:space="preserve">”</w:t>
      </w:r>
      <w:r>
        <w:t xml:space="preserve"> </w:t>
      </w:r>
      <w:r>
        <w:t xml:space="preserve">như một tổng thể.</w:t>
      </w:r>
      <w:r>
        <w:t xml:space="preserve"> </w:t>
      </w:r>
      <w:r>
        <w:t xml:space="preserve">-</w:t>
      </w:r>
      <w:r>
        <w:t xml:space="preserve"> </w:t>
      </w: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w:t>
      </w:r>
      <w:r>
        <w:t xml:space="preserve"> </w:t>
      </w:r>
      <w:r>
        <w:t xml:space="preserve">“</w:t>
      </w:r>
      <w:r>
        <w:t xml:space="preserve">extensive corruption</w:t>
      </w:r>
      <w:r>
        <w:t xml:space="preserve">”</w:t>
      </w:r>
      <w:r>
        <w:t xml:space="preserve"> </w:t>
      </w:r>
      <w:r>
        <w:t xml:space="preserve">(Bribery Incidence cao, Depth thấp, tham nhũng phổ biến nhưng mỗi giao dịch ít) và</w:t>
      </w:r>
      <w:r>
        <w:t xml:space="preserve"> </w:t>
      </w:r>
      <w:r>
        <w:t xml:space="preserve">“</w:t>
      </w:r>
      <w:r>
        <w:t xml:space="preserve">intensive corruption</w:t>
      </w:r>
      <w:r>
        <w:t xml:space="preserve">”</w:t>
      </w:r>
      <w:r>
        <w:t xml:space="preserve"> </w:t>
      </w:r>
      <w:r>
        <w:t xml:space="preserve">(Incidence thấp, Depth cao, chỉ một số ít DN nhưng giao dịch nào cũng tham nhũng).</w:t>
      </w:r>
      <w:r>
        <w:t xml:space="preserve"> </w:t>
      </w:r>
      <w:r>
        <w:t xml:space="preserve">-</w:t>
      </w:r>
      <w:r>
        <w:t xml:space="preserve"> </w:t>
      </w: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r>
        <w:t xml:space="preserve"> </w:t>
      </w:r>
      <w:r>
        <w:t xml:space="preserve">-</w:t>
      </w:r>
      <w:r>
        <w:t xml:space="preserve"> </w:t>
      </w:r>
      <w:r>
        <w:rPr>
          <w:bCs/>
          <w:b/>
        </w:rPr>
        <w:t xml:space="preserve">(4) Liên kết với khung phân tích cấp ngành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Start w:id="73" w:name="X116b9dc63d324a4899d8e0a49782bce0c578162"/>
    <w:p>
      <w:pPr>
        <w:pStyle w:val="Heading5"/>
      </w:pPr>
      <w:r>
        <w:t xml:space="preserve">2.3.1.8 Khung phân tích cấp ngành (industry-level) — kế hoạch CĐ2</w:t>
      </w:r>
    </w:p>
    <w:p>
      <w:pPr>
        <w:pStyle w:val="BlockText"/>
      </w:pPr>
      <w:r>
        <w:t xml:space="preserve">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 Bảng 4.8.1 bổ sung cột</w:t>
      </w:r>
      <w:r>
        <w:t xml:space="preserve"> </w:t>
      </w:r>
      <w:r>
        <w:t xml:space="preserve">“</w:t>
      </w:r>
      <w:r>
        <w:t xml:space="preserve">Dynamism profile (Kafouros 2023)</w:t>
      </w:r>
      <w:r>
        <w:t xml:space="preserve">”</w:t>
      </w:r>
      <w:r>
        <w:t xml:space="preserve"> </w:t>
      </w:r>
      <w:r>
        <w:t xml:space="preserve">cùng đoạn lý giải về tương tác industry × institutional quality và hàm ý phương pháp luận (f) về số hạng tương tác.</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§4.4 và lập luận Tier-1 saturation)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numPr>
          <w:ilvl w:val="0"/>
          <w:numId w:val="1013"/>
        </w:numPr>
        <w:pStyle w:val="Compact"/>
      </w:pPr>
      <w:r>
        <w:t xml:space="preserve">Industry FE 9 ngành theo Bảng 4.8.1.</w:t>
      </w:r>
    </w:p>
    <w:p>
      <w:pPr>
        <w:numPr>
          <w:ilvl w:val="0"/>
          <w:numId w:val="1013"/>
        </w:numPr>
        <w:pStyle w:val="Compact"/>
      </w:pPr>
      <w:r>
        <w:t xml:space="preserve">Manufacturing-only subsample, tách cho high-tech vs low-tech theo Kafouros (2023) classification.</w:t>
      </w:r>
    </w:p>
    <w:p>
      <w:pPr>
        <w:numPr>
          <w:ilvl w:val="0"/>
          <w:numId w:val="1013"/>
        </w:numPr>
        <w:pStyle w:val="Compact"/>
      </w:pPr>
      <w:r>
        <w:t xml:space="preserve">Tourism separation cho SIDS Pacific (boundary case extension §1.3).</w:t>
      </w:r>
    </w:p>
    <w:p>
      <w:pPr>
        <w:numPr>
          <w:ilvl w:val="0"/>
          <w:numId w:val="1013"/>
        </w:numPr>
        <w:pStyle w:val="Compact"/>
      </w:pPr>
      <w:r>
        <w:t xml:space="preserve">Construction subsample test Vùng Vịnh resource-driven Advanced.</w:t>
      </w:r>
    </w:p>
    <w:p>
      <w:pPr>
        <w:numPr>
          <w:ilvl w:val="0"/>
          <w:numId w:val="1013"/>
        </w:numPr>
        <w:pStyle w:val="Compact"/>
      </w:pPr>
      <w:r>
        <w:t xml:space="preserve">ICT exclusion test cho DAI, đặc biệt liên quan việc tái định danh Tier-1 Digital Presence (§4.4.5).</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đóng góp lý thuyết của luận án.</w:t>
      </w:r>
    </w:p>
    <w:bookmarkEnd w:id="73"/>
    <w:bookmarkStart w:id="74" w:name="X6137fe898ea43b8b79c4fbf5a7a9f2b335b5fcf"/>
    <w:p>
      <w:pPr>
        <w:pStyle w:val="Heading5"/>
      </w:pPr>
      <w:r>
        <w:t xml:space="preserve">2.3.1.9 Phân nhóm con Emerging — phát hiện dị biệt nội bộ</w:t>
      </w:r>
    </w:p>
    <w:p>
      <w:pPr>
        <w:pStyle w:val="BlockText"/>
      </w:pPr>
      <w:r>
        <w:t xml:space="preserve">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rPr>
          <w:iCs/>
          <w:i/>
        </w:rPr>
        <w:t xml:space="preserve">Ghi chú phân rã cấp quốc gia hàng</w:t>
      </w:r>
      <w:r>
        <w:rPr>
          <w:iCs/>
          <w:i/>
        </w:rPr>
        <w:t xml:space="preserve"> </w:t>
      </w:r>
      <w:r>
        <w:rPr>
          <w:iCs/>
          <w:i/>
        </w:rPr>
        <w:t xml:space="preserve">“</w:t>
      </w:r>
      <w:r>
        <w:rPr>
          <w:iCs/>
          <w:i/>
        </w:rPr>
        <w:t xml:space="preserve">Emerging, FDI dẫn dắt SEA</w:t>
      </w:r>
      <w:r>
        <w:rPr>
          <w:iCs/>
          <w:i/>
        </w:rPr>
        <w:t xml:space="preserve">”</w:t>
      </w:r>
      <w:r>
        <w:rPr>
          <w:iCs/>
          <w:i/>
        </w:rPr>
        <w:t xml:space="preserve"> </w:t>
      </w:r>
      <w:r>
        <w:rPr>
          <w:iCs/>
          <w:i/>
        </w:rPr>
        <w:t xml:space="preserve">(n=13.779)</w:t>
      </w:r>
      <w:r>
        <w:t xml:space="preserve">: Ba nước cấu thành gồm Việt Nam (VNM, n=3.077, khớp với tổng doanh nghiệp Việt Nam trong pool ở Mục 5.3 file 16), Indonesia (IDN, n≈7.500) và Philippines (PHL, n≈3.200); tổng đối chiếu ≈ 13.777, sai số làm tròn so với 13.779. Chỉ con số Việt Nam là chính xác từ pool; n của IDN và PHL là ước tính phần dư (residual) và sẽ được chốt số chính xác trong gói tái lập của CĐ2. Lưu ý rằng số liệu hồi quy phụ của Việt Nam ở Bảng 6.1.2 (file 16) dùng mẫu phụ complete-case n=2.958, nhỏ hơn 3.077 ở đây vì ràng buộc đủ biến giải thích (xem ghi chú đối chiếu cỡ mẫu §5.3 file 16).</w:t>
      </w:r>
    </w:p>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74"/>
    <w:bookmarkStart w:id="75" w:name="phân-tích-sâu-đợt-khảo-sát-2025"/>
    <w:p>
      <w:pPr>
        <w:pStyle w:val="Heading5"/>
      </w:pPr>
      <w:r>
        <w:t xml:space="preserve">2.3.1.10 Phân tích sâu đợt khảo sát 2025</w:t>
      </w:r>
    </w:p>
    <w:p>
      <w:pPr>
        <w:pStyle w:val="BlockText"/>
      </w:pPr>
      <w:r>
        <w:t xml:space="preserve">Đợt 2025 chiếm 17.107 doanh nghiệp (16,9% pool, gồm Kiribati 2025).</w:t>
      </w:r>
    </w:p>
    <w:p>
      <w:pPr>
        <w:pStyle w:val="FirstParagraph"/>
      </w:pPr>
      <w:r>
        <w:rPr>
          <w:bCs/>
          <w:b/>
        </w:rPr>
        <w:t xml:space="preserve">Bảng 4.10</w:t>
      </w:r>
      <w:r>
        <w:t xml:space="preserve">.</w:t>
      </w:r>
      <w:r>
        <w:t xml:space="preserve"> </w:t>
      </w:r>
      <w:r>
        <w:rPr>
          <w:iCs/>
          <w:i/>
        </w:rPr>
        <w:t xml:space="preserve">14 quốc gia trong đợt 2025 (n=17.107, gồm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17.107</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(NPL, n=1.740), schema BREADY chưa thống nhất nên các chỉ số FSTS, FDI, R&amp;D, Website và sd log để n/a và được loại khỏi mọi trung bình có trọng số của hàng tổng; do đó hàng tổng cột n_firms phản ánh đầy đủ 17.107 doanh nghiệp (khớp với Mục 1.1 file 14), trong khi các cột chỉ số trung bình được tính trên 13 nước có dữ liệu đầy đủ (n=15.367). ²Kiribati 2025: Lower Middle Income; viện trợ AUS/NZ ~30% GDP.</w:t>
      </w:r>
    </w:p>
    <w:p>
      <w:pPr>
        <w:pStyle w:val="BodyText"/>
      </w:pPr>
      <w:r>
        <w:rPr>
          <w:bCs/>
          <w:b/>
        </w:rPr>
        <w:t xml:space="preserve">Bảy phát hiện</w:t>
      </w:r>
      <w:r>
        <w:t xml:space="preserve">: (1) IND FSTS sụt 5 đpt (schema effect); (2) THA</w:t>
      </w:r>
      <w:r>
        <w:t xml:space="preserve"> </w:t>
      </w:r>
      <w:r>
        <w:t xml:space="preserve">“</w:t>
      </w:r>
      <w:r>
        <w:t xml:space="preserve">digital up, exports down</w:t>
      </w:r>
      <w:r>
        <w:t xml:space="preserve">”</w:t>
      </w:r>
      <w:r>
        <w:t xml:space="preserve">;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w:t>
      </w:r>
      <w:r>
        <w:rPr>
          <w:bCs/>
          <w:b/>
        </w:rPr>
        <w:t xml:space="preserve"> </w:t>
      </w:r>
      <w:r>
        <w:rPr>
          <w:bCs/>
          <w:b/>
        </w:rPr>
        <w:t xml:space="preserve">“</w:t>
      </w:r>
      <w:r>
        <w:rPr>
          <w:bCs/>
          <w:b/>
        </w:rPr>
        <w:t xml:space="preserve">high-digital</w:t>
      </w:r>
      <w:r>
        <w:rPr>
          <w:bCs/>
          <w:b/>
        </w:rPr>
        <w:t xml:space="preserve">”</w:t>
      </w:r>
      <w:r>
        <w:rPr>
          <w:bCs/>
          <w:b/>
        </w:rPr>
        <w:t xml:space="preserve"> </w:t>
      </w:r>
      <w:r>
        <w:rPr>
          <w:bCs/>
          <w:b/>
        </w:rPr>
        <w:t xml:space="preserve">(FJI, MDV) vs</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w:t>
      </w:r>
      <w:r>
        <w:t xml:space="preserve">“</w:t>
      </w:r>
      <w:r>
        <w:t xml:space="preserve">high-digital</w:t>
      </w:r>
      <w:r>
        <w:t xml:space="preserve">”</w:t>
      </w:r>
      <w:r>
        <w:t xml:space="preserve"> </w:t>
      </w:r>
      <w:r>
        <w:t xml:space="preserve">vs</w:t>
      </w:r>
      <w:r>
        <w:t xml:space="preserve"> </w:t>
      </w:r>
      <w:r>
        <w:t xml:space="preserve">“</w:t>
      </w:r>
      <w:r>
        <w:t xml:space="preserve">isolated</w:t>
      </w:r>
      <w:r>
        <w:t xml:space="preserve">”</w:t>
      </w:r>
      <w:r>
        <w:t xml:space="preserve">), phương án mở rộng tùy chọn từ 8 lên 9 phân nhóm con (xem Mục 4.7(b)); (g) Tách 2025 thành</w:t>
      </w:r>
      <w:r>
        <w:t xml:space="preserve"> </w:t>
      </w:r>
      <w:r>
        <w:rPr>
          <w:bCs/>
          <w:b/>
        </w:rPr>
        <w:t xml:space="preserve">“</w:t>
      </w:r>
      <w:r>
        <w:rPr>
          <w:bCs/>
          <w:b/>
        </w:rPr>
        <w:t xml:space="preserve">Panel hậu đại dịch độc lập</w:t>
      </w:r>
      <w:r>
        <w:rPr>
          <w:bCs/>
          <w:b/>
        </w:rPr>
        <w:t xml:space="preserve">”</w:t>
      </w:r>
      <w:r>
        <w:t xml:space="preserve"> </w:t>
      </w:r>
      <w:r>
        <w:rPr>
          <w:iCs/>
          <w:i/>
        </w:rPr>
        <w:t xml:space="preserve">(chi tiết §4.11)</w:t>
      </w:r>
      <w:r>
        <w:t xml:space="preserve">.</w:t>
      </w:r>
    </w:p>
    <w:bookmarkEnd w:id="75"/>
    <w:bookmarkStart w:id="80" w:name="X064d699a5a1c4a05177a44dfa39cecfdbf09aba"/>
    <w:p>
      <w:pPr>
        <w:pStyle w:val="Heading5"/>
      </w:pPr>
      <w:r>
        <w:t xml:space="preserve">2.3.1.11 Cô lập đứt gãy schema BREADY 2025 — 3 đề xuất phương pháp luận</w:t>
      </w:r>
    </w:p>
    <w:p>
      <w:pPr>
        <w:pStyle w:val="FirstParagraph"/>
      </w:pPr>
      <w:r>
        <w:t xml:space="preserve">Đợt 2025 (n=17.107 firms,</w:t>
      </w:r>
      <w:r>
        <w:t xml:space="preserve"> </w:t>
      </w:r>
      <w:r>
        <w:rPr>
          <w:bCs/>
          <w:b/>
        </w:rPr>
        <w:t xml:space="preserve">16,9% pool</w:t>
      </w:r>
      <w:r>
        <w:t xml:space="preserve">) sử dụng schema mới BREADY khác bản hỏi cũ,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Như tác giả lưu ý trong ghi chú phân tích nội bộ (2026), đứt gãy schema BREADY 2025 đe dọa trực tiếp tính liên tục của phân tích chuỗi thời gian; mô hình kiểm tra điểm uốn có thể cho kết luận sai lệch nếu không được xử lý. Nghiên cứu sinh đã cảnh báo trong §4.10 (mục 5: R&amp;D schema-induced overestimation) nhưng cần làm sâu hơn với 3 đề xuất phương pháp luận.</w:t>
      </w:r>
    </w:p>
    <w:bookmarkStart w:id="76" w:name="X1b8e1b5287c0e6e65659f757dcd4c99d2900ff7"/>
    <w:p>
      <w:pPr>
        <w:pStyle w:val="Heading6"/>
      </w:pPr>
      <w:r>
        <w:t xml:space="preserve">2.3.1.11.1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14"/>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w:t>
      </w:r>
      <w:r>
        <w:t xml:space="preserve"> </w:t>
      </w:r>
      <w:r>
        <w:t xml:space="preserve">“</w:t>
      </w:r>
      <w:r>
        <w:t xml:space="preserve">doanh thu xuất khẩu trực tiếp</w:t>
      </w:r>
      <w:r>
        <w:t xml:space="preserve">”</w:t>
      </w:r>
      <w:r>
        <w:t xml:space="preserve"> </w:t>
      </w:r>
      <w:r>
        <w:t xml:space="preserve">vs PICS3 hỏi tổng quát hơn).</w:t>
      </w:r>
    </w:p>
    <w:p>
      <w:pPr>
        <w:numPr>
          <w:ilvl w:val="0"/>
          <w:numId w:val="1014"/>
        </w:numPr>
        <w:pStyle w:val="Compact"/>
      </w:pPr>
      <w:r>
        <w:rPr>
          <w:bCs/>
          <w:b/>
        </w:rPr>
        <w:t xml:space="preserve">Cảnh báo phương pháp luận</w:t>
      </w:r>
      <w:r>
        <w:t xml:space="preserve">: biến giả không phải giải pháp vạn năng. Nó chỉ hấp thụ tác động tĩnh (mức trung bình) chứ không hiệu chỉnh được thay đổi phương sai do schema. Vì vậy cần đi cùng đề xuất 3b (anchor model) để kiểm tra độ vững.</w:t>
      </w:r>
    </w:p>
    <w:p>
      <w:pPr>
        <w:numPr>
          <w:ilvl w:val="0"/>
          <w:numId w:val="1014"/>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76"/>
    <w:bookmarkStart w:id="77" w:name="đề-xuất-3b-mô-hình-neo-anchor-model"/>
    <w:p>
      <w:pPr>
        <w:pStyle w:val="Heading6"/>
      </w:pPr>
      <w:r>
        <w:t xml:space="preserve">2.3.1.11.2 Đề xuất 3b — Mô hình neo (anchor model)</w:t>
      </w:r>
    </w:p>
    <w:p>
      <w:pPr>
        <w:pStyle w:val="FirstParagraph"/>
      </w:pPr>
      <w:r>
        <w:t xml:space="preserve">Quy trình 3 bước:</w:t>
      </w:r>
    </w:p>
    <w:p>
      <w:pPr>
        <w:numPr>
          <w:ilvl w:val="0"/>
          <w:numId w:val="1015"/>
        </w:numPr>
      </w:pPr>
      <w:r>
        <w:t xml:space="preserve">Chạy hồi quy với data chỉ đến 2024 (n≈84.000 firms, 13 đợt khảo sát 2009-2024) → có</w:t>
      </w:r>
      <w:r>
        <w:t xml:space="preserve"> </w:t>
      </w:r>
      <w:r>
        <w:rPr>
          <w:bCs/>
          <w:b/>
        </w:rPr>
        <w:t xml:space="preserve">bộ hệ số</w:t>
      </w:r>
      <w:r>
        <w:rPr>
          <w:bCs/>
          <w:b/>
        </w:rPr>
        <w:t xml:space="preserve"> </w:t>
      </w:r>
      <w:r>
        <w:rPr>
          <w:bCs/>
          <w:b/>
        </w:rPr>
        <w:t xml:space="preserve">“</w:t>
      </w:r>
      <w:r>
        <w:rPr>
          <w:bCs/>
          <w:b/>
        </w:rPr>
        <w:t xml:space="preserve">neo</w:t>
      </w:r>
      <w:r>
        <w:rPr>
          <w:bCs/>
          <w:b/>
        </w:rPr>
        <w:t xml:space="preserve">”</w:t>
      </w:r>
      <w:r>
        <w:t xml:space="preserve"> </w:t>
      </w:r>
      <w:r>
        <w:t xml:space="preserve">(anchor coefficients) cho FSTS, FSTS², TCI, DAI và các tương tác.</w:t>
      </w:r>
    </w:p>
    <w:p>
      <w:pPr>
        <w:numPr>
          <w:ilvl w:val="0"/>
          <w:numId w:val="1015"/>
        </w:numPr>
      </w:pP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numPr>
          <w:ilvl w:val="0"/>
          <w:numId w:val="1015"/>
        </w:numPr>
      </w:pPr>
      <w:r>
        <w:t xml:space="preserve">Re-run hồi quy với data đầy đủ 2009-2025 (n=101.185), so sánh:</w:t>
      </w:r>
    </w:p>
    <w:p>
      <w:pPr>
        <w:numPr>
          <w:ilvl w:val="0"/>
          <w:numId w:val="1016"/>
        </w:numPr>
        <w:pStyle w:val="Compact"/>
      </w:pPr>
      <w:r>
        <w:t xml:space="preserve">Coefficient stability test (Wald test, Chow test): hệ số FSTS, FSTS², TCI, DAI có thay đổi significantly khi thêm 2025 không?</w:t>
      </w:r>
    </w:p>
    <w:p>
      <w:pPr>
        <w:numPr>
          <w:ilvl w:val="0"/>
          <w:numId w:val="1016"/>
        </w:numPr>
        <w:pStyle w:val="Compact"/>
      </w:pPr>
      <w:r>
        <w:t xml:space="preserve">Likelihood ratio test giữa 2 mô hình: Δ AIC, Δ BIC.</w:t>
      </w:r>
    </w:p>
    <w:p>
      <w:pPr>
        <w:numPr>
          <w:ilvl w:val="0"/>
          <w:numId w:val="1016"/>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w:t>
      </w:r>
      <w:r>
        <w:t xml:space="preserve"> </w:t>
      </w:r>
      <w:r>
        <w:t xml:space="preserve">“</w:t>
      </w:r>
      <w:r>
        <w:t xml:space="preserve">cấu trúc bảng hỏi mới có làm đảo chiều ý nghĩa thống kê cốt lõi hay không</w:t>
      </w:r>
      <w:r>
        <w:t xml:space="preserve">”</w:t>
      </w:r>
      <w:r>
        <w:t xml:space="preserve">.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77"/>
    <w:bookmarkStart w:id="78" w:name="X168702046bd615e61410f2a681cc0ccd5166c8a"/>
    <w:p>
      <w:pPr>
        <w:pStyle w:val="Heading6"/>
      </w:pPr>
      <w:r>
        <w:t xml:space="preserve">2.3.1.11.3 Đề xuất 3c — Tách 2025 thành</w:t>
      </w:r>
      <w:r>
        <w:t xml:space="preserve"> </w:t>
      </w:r>
      <w:r>
        <w:t xml:space="preserve">“</w:t>
      </w:r>
      <w:r>
        <w:t xml:space="preserve">Panel hậu đại dịch độc lập</w:t>
      </w:r>
      <w:r>
        <w:t xml:space="preserve">”</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w:t>
      </w:r>
      <w:r>
        <w:rPr>
          <w:iCs/>
          <w:i/>
        </w:rPr>
        <w:t xml:space="preserve">Quy luật thể chế và U-curve giai đoạn 2009-2024 có còn hiệu lực trong</w:t>
      </w:r>
      <w:r>
        <w:rPr>
          <w:iCs/>
          <w:i/>
        </w:rPr>
        <w:t xml:space="preserve"> </w:t>
      </w:r>
      <w:r>
        <w:rPr>
          <w:iCs/>
          <w:i/>
        </w:rPr>
        <w:t xml:space="preserve">‘</w:t>
      </w:r>
      <w:r>
        <w:rPr>
          <w:iCs/>
          <w:i/>
        </w:rPr>
        <w:t xml:space="preserve">trạng thái bình thường mới</w:t>
      </w:r>
      <w:r>
        <w:rPr>
          <w:iCs/>
          <w:i/>
        </w:rPr>
        <w:t xml:space="preserve">’</w:t>
      </w:r>
      <w:r>
        <w:rPr>
          <w:iCs/>
          <w:i/>
        </w:rPr>
        <w:t xml:space="preserve"> </w:t>
      </w:r>
      <w:r>
        <w:rPr>
          <w:iCs/>
          <w:i/>
        </w:rPr>
        <w:t xml:space="preserve">(new normal) hậu COVID + AI bùng nổ?</w:t>
      </w:r>
      <w:r>
        <w:rPr>
          <w:iCs/>
          <w:i/>
        </w:rPr>
        <w:t xml:space="preserve">”</w:t>
      </w:r>
    </w:p>
    <w:p>
      <w:pPr>
        <w:pStyle w:val="BodyText"/>
      </w:pPr>
      <w:r>
        <w:t xml:space="preserve">Tiến trình:</w:t>
      </w:r>
      <w:r>
        <w:t xml:space="preserve"> </w:t>
      </w:r>
      <w:r>
        <w:t xml:space="preserve">-</w:t>
      </w:r>
      <w:r>
        <w:t xml:space="preserve"> </w:t>
      </w:r>
      <w:r>
        <w:rPr>
          <w:bCs/>
          <w:b/>
        </w:rPr>
        <w:t xml:space="preserve">Bước 1</w:t>
      </w:r>
      <w:r>
        <w:t xml:space="preserve">: Chạy mô hình chính trên data 2009-2024, báo cáo H1-H6 + H7 + Lin-Mehlum tests.</w:t>
      </w:r>
      <w:r>
        <w:t xml:space="preserve"> </w:t>
      </w:r>
      <w:r>
        <w:t xml:space="preserve">-</w:t>
      </w:r>
      <w:r>
        <w:t xml:space="preserve"> </w:t>
      </w:r>
      <w:r>
        <w:rPr>
          <w:bCs/>
          <w:b/>
        </w:rPr>
        <w:t xml:space="preserve">Bước 2</w:t>
      </w:r>
      <w:r>
        <w:t xml:space="preserve">: Test cùng mô hình trên data 2025 only (n=17.107) như</w:t>
      </w:r>
      <w:r>
        <w:t xml:space="preserve"> </w:t>
      </w:r>
      <w:r>
        <w:rPr>
          <w:bCs/>
          <w:b/>
        </w:rPr>
        <w:t xml:space="preserve">out-of-sample validation panel</w:t>
      </w:r>
      <w:r>
        <w:t xml:space="preserve">. Ghi rõ</w:t>
      </w:r>
      <w:r>
        <w:t xml:space="preserve"> </w:t>
      </w:r>
      <w:r>
        <w:t xml:space="preserve">“</w:t>
      </w:r>
      <w:r>
        <w:t xml:space="preserve">post-pandemic + AI era panel</w:t>
      </w:r>
      <w:r>
        <w:t xml:space="preserve">”</w:t>
      </w:r>
      <w:r>
        <w:t xml:space="preserve"> </w:t>
      </w:r>
      <w:r>
        <w:t xml:space="preserve">(post-COVID 2020-2022 + AI surge 2023-2025).</w:t>
      </w:r>
      <w:r>
        <w:t xml:space="preserve"> </w:t>
      </w:r>
      <w:r>
        <w:t xml:space="preserve">-</w:t>
      </w:r>
      <w:r>
        <w:t xml:space="preserve"> </w:t>
      </w:r>
      <w:r>
        <w:rPr>
          <w:bCs/>
          <w:b/>
        </w:rPr>
        <w:t xml:space="preserve">Bước 3</w:t>
      </w:r>
      <w:r>
        <w:t xml:space="preserve">: Báo cáo:</w:t>
      </w:r>
      <w:r>
        <w:t xml:space="preserve"> </w:t>
      </w:r>
      <w:r>
        <w:t xml:space="preserve">- Hệ số nào giữ stability (validation passed)</w:t>
      </w:r>
      <w:r>
        <w:t xml:space="preserve"> </w:t>
      </w:r>
      <w:r>
        <w:t xml:space="preserve">- Hệ số nào thay đổi (validation failed → discuss as evidence của paradigm shift hậu COVID + AI)</w:t>
      </w:r>
      <w:r>
        <w:t xml:space="preserve"> </w:t>
      </w:r>
      <w:r>
        <w:t xml:space="preserve">- Effect size differences và policy implications.</w:t>
      </w:r>
    </w:p>
    <w:p>
      <w:pPr>
        <w:pStyle w:val="BodyText"/>
      </w:pPr>
      <w:r>
        <w:t xml:space="preserve">Cách tiếp cận này biến một rủi ro dữ liệu (đứt gãy schema) thành một chương phân tích hướng tới tương lai có giá trị (tác giả, ghi chú phân tích nội bộ, 2026).</w:t>
      </w:r>
    </w:p>
    <w:bookmarkEnd w:id="78"/>
    <w:bookmarkStart w:id="79" w:name="X49da728ab207039440da8c7ba800c51e9fd8fc2"/>
    <w:p>
      <w:pPr>
        <w:pStyle w:val="Heading6"/>
      </w:pPr>
      <w:r>
        <w:t xml:space="preserve">2.3.1.11.4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robustness check section.</w:t>
      </w:r>
    </w:p>
    <w:p>
      <w:r>
        <w:pict>
          <v:rect style="width:0;height:1.5pt" o:hralign="center" o:hrstd="t" o:hr="t"/>
        </w:pic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r>
        <w:t xml:space="preserve"> </w:t>
      </w:r>
      <w:r>
        <w:t xml:space="preserve">—</w:t>
      </w:r>
    </w:p>
    <w:bookmarkEnd w:id="79"/>
    <w:bookmarkEnd w:id="80"/>
    <w:bookmarkEnd w:id="81"/>
    <w:bookmarkStart w:id="89" w:name="bảy-tiểu-cảnh-điển-hình"/>
    <w:p>
      <w:pPr>
        <w:pStyle w:val="Heading4"/>
      </w:pPr>
      <w:r>
        <w:t xml:space="preserve">2.3.2 Bảy tiểu cảnh điển hình</w:t>
      </w:r>
    </w:p>
    <w:bookmarkStart w:id="82" w:name="Xe8397d3c57d7466dc5cdf33105cff560c510b10"/>
    <w:p>
      <w:pPr>
        <w:pStyle w:val="Heading5"/>
      </w:pPr>
      <w:r>
        <w:t xml:space="preserve">2.3.2.1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là 1,03. Đây là</w:t>
      </w:r>
      <w:r>
        <w:t xml:space="preserve"> </w:t>
      </w:r>
      <w:r>
        <w:rPr>
          <w:bCs/>
          <w:b/>
        </w:rPr>
        <w:t xml:space="preserve">biên trên (upper boundary)</w:t>
      </w:r>
      <w:r>
        <w:t xml:space="preserve"> </w:t>
      </w:r>
      <w:r>
        <w:t xml:space="preserve">của nhóm Advanced đổi mới sáng tạo dẫn dắt. Theo bài báo phân tích Singapore (Singapore, MIR), mô hình M8 cho R² hiệu chỉnh bằng 0,196, tương tác FSTS² × DAI bằng 3,119, với điểm uốn (turning point) ở mức khoảng 85%.</w:t>
      </w:r>
    </w:p>
    <w:bookmarkEnd w:id="82"/>
    <w:bookmarkStart w:id="83" w:name="Xcd9fa829f006cba94cdb0b83c4ae7c647970610"/>
    <w:p>
      <w:pPr>
        <w:pStyle w:val="Heading5"/>
      </w:pPr>
      <w:r>
        <w:t xml:space="preserve">2.3.2.2 Saudi Arabia, Qatar và Kuwait (Advanced tài nguyên dẫn dắt —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 đặc trưng</w:t>
      </w:r>
      <w:r>
        <w:t xml:space="preserve"> </w:t>
      </w:r>
      <w:r>
        <w:rPr>
          <w:bCs/>
          <w:b/>
        </w:rPr>
        <w:t xml:space="preserve">nhà nước tô (rentier state)</w:t>
      </w:r>
      <w:r>
        <w:t xml:space="preserve"> </w:t>
      </w:r>
      <w:r>
        <w:t xml:space="preserve">theo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trong đó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hạ mạnh dự báo tăng trưởng Saudi Arabia từ khoảng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dự báo Pacific 3,4%, Đông Nam Á 4,7% và Việt Nam 7,0%, qua đó củng cố luận điểm về dị biệt giữa Advanced innovation và resource.</w:t>
      </w:r>
    </w:p>
    <w:bookmarkEnd w:id="83"/>
    <w:bookmarkStart w:id="84" w:name="X6e6ea2cbb7d2ea6293626066fb44a7d7b15d0b7"/>
    <w:p>
      <w:pPr>
        <w:pStyle w:val="Heading5"/>
      </w:pPr>
      <w:r>
        <w:t xml:space="preserve">2.3.2.3 Việt Nam (n=3.077, 3 đợt khảo sát) — cập nhật với ADB Vietnam Outlook 2026</w:t>
      </w:r>
    </w:p>
    <w:p>
      <w:pPr>
        <w:pStyle w:val="BlockText"/>
      </w:pPr>
      <w:r>
        <w:rPr>
          <w:bCs/>
          <w:b/>
        </w:rPr>
        <w:t xml:space="preserve">Ghi chú đối chiếu cỡ mẫu (n)</w:t>
      </w:r>
      <w:r>
        <w:t xml:space="preserve">: Việt Nam có</w:t>
      </w:r>
      <w:r>
        <w:t xml:space="preserve"> </w:t>
      </w:r>
      <w:r>
        <w:rPr>
          <w:bCs/>
          <w:b/>
        </w:rPr>
        <w:t xml:space="preserve">n=3.077 doanh nghiệp</w:t>
      </w:r>
      <w:r>
        <w:t xml:space="preserve"> </w:t>
      </w:r>
      <w:r>
        <w:t xml:space="preserve">tổng cộng trong nhóm dữ liệu WBES (toàn bộ doanh nghiệp Việt Nam trong pool), trong khi</w:t>
      </w:r>
      <w:r>
        <w:t xml:space="preserve"> </w:t>
      </w:r>
      <w:r>
        <w:rPr>
          <w:bCs/>
          <w:b/>
        </w:rPr>
        <w:t xml:space="preserve">n=2.958 doanh nghiệp</w:t>
      </w:r>
      <w:r>
        <w:t xml:space="preserve"> </w:t>
      </w:r>
      <w:r>
        <w:t xml:space="preserve">là mẫu phụ đủ biến cho phân tích hồi quy (complete-case sample: sau khi loại các quan sát thiếu dữ liệu log năng suất, FSTS, TCI hoặc DAI). Chênh lệch 119 doanh nghiệp (3,9% mẫu) phản ánh dữ liệu khuyết (missing data) ở một số biến giải thích, không phải sai lệch số liệu. Các thống kê mô tả cấp quốc gia trong Mục 5.3 và Bảng 5.1 dùng n=3.077; các hệ số hồi quy và đối chiếu CDCM (Bảng 6.1.2, file 15 §4.4.5.1) dùng n=2.958.</w:t>
      </w:r>
    </w:p>
    <w:p>
      <w:pPr>
        <w:pStyle w:val="FirstParagraph"/>
      </w:pPr>
      <w:r>
        <w:t xml:space="preserve">FSTS suy giảm dần qua các đợt, từ 23,2% còn 17,9% rồi 16,1%; doanh nghiệp xuất khẩu giảm từ 37,1% xuống 23,8%; ISO 17–23%; R&amp;D 6,1% (đợt 2023). Đây là pattern</w:t>
      </w:r>
      <w:r>
        <w:t xml:space="preserve"> </w:t>
      </w:r>
      <w:r>
        <w:rPr>
          <w:bCs/>
          <w:b/>
        </w:rPr>
        <w:t xml:space="preserve">kinh tế hai tầng (two-tier economy)</w:t>
      </w:r>
      <w:r>
        <w:t xml:space="preserve">, nơi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cao nhất khu vực Đông Nam Á, và dự phóng</w:t>
      </w:r>
      <w:r>
        <w:t xml:space="preserve"> </w:t>
      </w:r>
      <w:r>
        <w:rPr>
          <w:bCs/>
          <w:b/>
        </w:rPr>
        <w:t xml:space="preserve">7,2% (2026), 7,0% (2027)</w:t>
      </w:r>
      <w:r>
        <w:t xml:space="preserve">, vượt mức bình quân ASEAN 4,6% và Đông Nam Á 4,7%. Bốn động lực chính gồm: (a) FDI commitment $2,4 tỷ qua 18 dự án chiến lược; (b) năng suất lao động tăng 5,1% giai đoạn 2026-2027; (c) kinh tế hai tầng tiếp tục phân kỳ, cùng ADB Policy-Based Loans $2,4B hướng vào SME nội địa; (d) GVC re-positioning chuyển từ assembly downstream sang mid-stream design/R&amp;D theo 3 trụ cột</w:t>
      </w:r>
      <w:r>
        <w:t xml:space="preserve"> </w:t>
      </w:r>
      <w:r>
        <w:t xml:space="preserve">“</w:t>
      </w:r>
      <w:r>
        <w:t xml:space="preserve">Resilience + Environmental Sustainability + Inclusiveness</w:t>
      </w:r>
      <w:r>
        <w:t xml:space="preserve">”</w:t>
      </w:r>
      <w:r>
        <w:t xml:space="preserve">.</w:t>
      </w:r>
    </w:p>
    <w:p>
      <w:pPr>
        <w:pStyle w:val="BodyText"/>
      </w:pPr>
      <w:r>
        <w:rPr>
          <w:bCs/>
          <w:b/>
        </w:rPr>
        <w:t xml:space="preserve">Cập nhật macro deep: 4 mảng bổ sung</w:t>
      </w:r>
      <w:r>
        <w:t xml:space="preserve">:</w:t>
      </w:r>
    </w:p>
    <w:p>
      <w:pPr>
        <w:numPr>
          <w:ilvl w:val="0"/>
          <w:numId w:val="1017"/>
        </w:numPr>
      </w:pPr>
      <w:r>
        <w:rPr>
          <w:bCs/>
          <w:b/>
        </w:rPr>
        <w:t xml:space="preserve">Lạm phát</w:t>
      </w:r>
      <w:r>
        <w:t xml:space="preserve">: ADB dự báo</w:t>
      </w:r>
      <w:r>
        <w:t xml:space="preserve"> </w:t>
      </w:r>
      <w:r>
        <w:rPr>
          <w:bCs/>
          <w:b/>
        </w:rPr>
        <w:t xml:space="preserve">4,0% (2026), 3,8% (2027)</w:t>
      </w:r>
      <w:r>
        <w:t xml:space="preserve">, nằm trong vùng mục tiêu của Ngân hàng Nhà nước (không quá 4,5%). Áp lực đến từ giá năng lượng, xung đột Trung Đông kéo dài và đứt gãy chuỗi cung ứng vận tải biển. Việc kiểm soát được lạm phát tạo dư địa cho chính sách tiền tệ nới lỏng.</w:t>
      </w:r>
    </w:p>
    <w:p>
      <w:pPr>
        <w:numPr>
          <w:ilvl w:val="0"/>
          <w:numId w:val="1017"/>
        </w:numPr>
      </w:pPr>
      <w:r>
        <w:rPr>
          <w:bCs/>
          <w:b/>
        </w:rPr>
        <w:t xml:space="preserve">Cấu trúc ngành</w:t>
      </w:r>
      <w:r>
        <w:t xml:space="preserve"> </w:t>
      </w:r>
      <w:r>
        <w:t xml:space="preserve">(theo đóng góp tăng trưởng 2026):</w:t>
      </w:r>
      <w:r>
        <w:t xml:space="preserve"> </w:t>
      </w:r>
      <w:r>
        <w:rPr>
          <w:bCs/>
          <w:b/>
        </w:rPr>
        <w:t xml:space="preserve">công nghiệp và xây dựng 7,7%</w:t>
      </w:r>
      <w:r>
        <w:t xml:space="preserve"> </w:t>
      </w:r>
      <w:r>
        <w:t xml:space="preserve">(FDI manufacturing cộng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sự chuyển dịch tiếp tục từ nông nghiệp sang công nghiệp rồi sang dịch vụ chất lượng cao.</w:t>
      </w:r>
    </w:p>
    <w:p>
      <w:pPr>
        <w:numPr>
          <w:ilvl w:val="0"/>
          <w:numId w:val="1017"/>
        </w:numPr>
      </w:pPr>
      <w:r>
        <w:rPr>
          <w:bCs/>
          <w:b/>
        </w:rPr>
        <w:t xml:space="preserve">Bốn trụ cột tăng trưởng</w:t>
      </w:r>
      <w:r>
        <w:t xml:space="preserve">: (a)</w:t>
      </w:r>
      <w:r>
        <w:t xml:space="preserve"> </w:t>
      </w:r>
      <w:r>
        <w:rPr>
          <w:bCs/>
          <w:b/>
        </w:rPr>
        <w:t xml:space="preserve">đầu tư công</w:t>
      </w:r>
      <w:r>
        <w:t xml:space="preserve"> </w:t>
      </w:r>
      <w:r>
        <w:t xml:space="preserve">với gói 800.000 tỷ VND giải ngân ưu tiên cho hạ tầng giao thông, năng lượng sạch và chuyển đổi số chính phủ; (b)</w:t>
      </w:r>
      <w:r>
        <w:t xml:space="preserve"> </w:t>
      </w:r>
      <w:r>
        <w:rPr>
          <w:bCs/>
          <w:b/>
        </w:rPr>
        <w:t xml:space="preserve">chính sách tiền tệ nới lỏng</w:t>
      </w:r>
      <w:r>
        <w:t xml:space="preserve">, khi Ngân hàng Nhà nước duy trì lãi suất tái cấp vốn thấp và mở rộng tín dụng có chọn lọc cho SME cùng manufacturing; (c)</w:t>
      </w:r>
      <w:r>
        <w:t xml:space="preserve"> </w:t>
      </w:r>
      <w:r>
        <w:rPr>
          <w:bCs/>
          <w:b/>
        </w:rPr>
        <w:t xml:space="preserve">FDI inflows</w:t>
      </w:r>
      <w:r>
        <w:t xml:space="preserve"> </w:t>
      </w:r>
      <w:r>
        <w:t xml:space="preserve">với $2,4 tỷ commitment qua 18 dự án chiến lược (fintech, năng lượng sạch, logistics, semiconductor packaging); (d)</w:t>
      </w:r>
      <w:r>
        <w:t xml:space="preserve"> </w:t>
      </w:r>
      <w:r>
        <w:rPr>
          <w:bCs/>
          <w:b/>
        </w:rPr>
        <w:t xml:space="preserve">xuất khẩu</w:t>
      </w:r>
      <w:r>
        <w:t xml:space="preserve">, duy trì hơn 30% kim ngạch sang Mỹ (đối tác lớn nhất) đồng thời đa dạng hóa qua CPTPP, RCEP và ACFTA.</w:t>
      </w:r>
    </w:p>
    <w:p>
      <w:pPr>
        <w:numPr>
          <w:ilvl w:val="0"/>
          <w:numId w:val="1017"/>
        </w:numPr>
      </w:pP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chip shortage và vận tải biển; (b)</w:t>
      </w:r>
      <w:r>
        <w:t xml:space="preserve"> </w:t>
      </w:r>
      <w:r>
        <w:rPr>
          <w:bCs/>
          <w:b/>
        </w:rPr>
        <w:t xml:space="preserve">chính sách thuế quan Mỹ 2026</w:t>
      </w:r>
      <w:r>
        <w:t xml:space="preserve">, với thuế 10% tạm thời và nguy cơ tăng lên 15% (xem Lớp 7 ở Mục 1.1 file 14); (c)</w:t>
      </w:r>
      <w:r>
        <w:t xml:space="preserve"> </w:t>
      </w:r>
      <w:r>
        <w:rPr>
          <w:bCs/>
          <w:b/>
        </w:rPr>
        <w:t xml:space="preserve">thanh khoản nội địa</w:t>
      </w:r>
      <w:r>
        <w:t xml:space="preserve">, khi tỷ lệ nợ doanh nghiệp trên GDP cao (khoảng 120%); (d)</w:t>
      </w:r>
      <w:r>
        <w:t xml:space="preserve"> </w:t>
      </w:r>
      <w:r>
        <w:rPr>
          <w:bCs/>
          <w:b/>
        </w:rPr>
        <w:t xml:space="preserve">nợ xấu hệ thống ngân hàng</w:t>
      </w:r>
      <w:r>
        <w:t xml:space="preserve">, đặc biệt từ bất động sản; (e)</w:t>
      </w:r>
      <w:r>
        <w:t xml:space="preserve"> </w:t>
      </w:r>
      <w:r>
        <w:rPr>
          <w:bCs/>
          <w:b/>
        </w:rPr>
        <w:t xml:space="preserve">trái phiếu doanh nghiệp yếu</w:t>
      </w:r>
      <w:r>
        <w:t xml:space="preserve"> </w:t>
      </w:r>
      <w:r>
        <w:t xml:space="preserve">sau khủng hoảng Tân Hoàng Minh và Vạn Thịnh Phát 2022-2024, đòi hỏi củng cố niềm tin nhà đầu tư trái phiếu trong nước.</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để đo bước chuyển từ assembly sang higher-value của FDI manufacturing, dùng làm kiểm định cho</w:t>
      </w:r>
      <w:r>
        <w:t xml:space="preserve"> </w:t>
      </w:r>
      <w:r>
        <w:rPr>
          <w:bCs/>
          <w:b/>
        </w:rPr>
        <w:t xml:space="preserve">H7 về tương tác industry × institutional dynamism</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dịch vụ, nông nghiệp) làm control variable trong robustness check #6 (sector composition adjustment).</w:t>
      </w:r>
    </w:p>
    <w:bookmarkEnd w:id="84"/>
    <w:bookmarkStart w:id="85" w:name="trung-quốc-n4.889"/>
    <w:p>
      <w:pPr>
        <w:pStyle w:val="Heading5"/>
      </w:pPr>
      <w:r>
        <w:t xml:space="preserve">2.3.2.4 Trung Quốc (n=4.889)</w:t>
      </w:r>
    </w:p>
    <w:p>
      <w:pPr>
        <w:pStyle w:val="FirstParagraph"/>
      </w:pPr>
      <w:r>
        <w:t xml:space="preserve">FSTS giảm từ 10,9% xuống 8,8%; FDI ≥10% chiếm 6,0%. Quan hệ giữa FSTS và năng suất có dạng đường cong bậc hai (inverted-U), với điểm uốn 49,4% (2012) và 47,2% (2024), bền vững theo kiểm định Paternoster. Wang, Huang và Hong (2024,</w:t>
      </w:r>
      <w:r>
        <w:t xml:space="preserve"> </w:t>
      </w:r>
      <w:r>
        <w:rPr>
          <w:iCs/>
          <w:i/>
        </w:rPr>
        <w:t xml:space="preserve">IRFA</w:t>
      </w:r>
      <w:r>
        <w:t xml:space="preserve">) cho thấy 80% bank risk models ở PRC phụ thuộc vào dominant tech providers, tạo nên</w:t>
      </w:r>
      <w:r>
        <w:t xml:space="preserve"> </w:t>
      </w:r>
      <w:r>
        <w:rPr>
          <w:bCs/>
          <w:b/>
        </w:rPr>
        <w:t xml:space="preserve">concentration risk</w:t>
      </w:r>
      <w:r>
        <w:t xml:space="preserve"> </w:t>
      </w:r>
      <w:r>
        <w:t xml:space="preserve">trong digital ecosystem của PRC.</w:t>
      </w:r>
    </w:p>
    <w:p>
      <w:pPr>
        <w:pStyle w:val="BodyText"/>
      </w:pPr>
      <w:r>
        <w:rPr>
          <w:bCs/>
          <w:b/>
        </w:rPr>
        <w:t xml:space="preserve">Khung Zombie firms PRC: lý giải bổ sung cho điểm uốn bậc hai (inverted-U) ~49%</w:t>
      </w:r>
      <w:r>
        <w:t xml:space="preserve">: Theo nghiên cứu của Caballero, Hoshi và Kashyap (2008,</w:t>
      </w:r>
      <w:r>
        <w:t xml:space="preserve"> </w:t>
      </w:r>
      <w:r>
        <w:rPr>
          <w:iCs/>
          <w:i/>
        </w:rPr>
        <w:t xml:space="preserve">American Economic Review</w:t>
      </w:r>
      <w:r>
        <w:t xml:space="preserve">) cùng ghi chú phân tích nội bộ của tác giả (2026), khái niệm</w:t>
      </w:r>
      <w:r>
        <w:t xml:space="preserve"> </w:t>
      </w:r>
      <w:r>
        <w:rPr>
          <w:bCs/>
          <w:b/>
        </w:rPr>
        <w:t xml:space="preserve">“</w:t>
      </w:r>
      <w:r>
        <w:rPr>
          <w:bCs/>
          <w:b/>
        </w:rPr>
        <w:t xml:space="preserve">doanh nghiệp xác sống</w:t>
      </w:r>
      <w:r>
        <w:rPr>
          <w:bCs/>
          <w:b/>
        </w:rPr>
        <w:t xml:space="preserve">”</w:t>
      </w:r>
      <w:r>
        <w:rPr>
          <w:bCs/>
          <w:b/>
        </w:rPr>
        <w:t xml:space="preserve"> </w:t>
      </w:r>
      <w:r>
        <w:rPr>
          <w:bCs/>
          <w:b/>
        </w:rPr>
        <w:t xml:space="preserve">(zombie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numPr>
          <w:ilvl w:val="0"/>
          <w:numId w:val="1018"/>
        </w:numPr>
      </w:pPr>
      <w:r>
        <w:rPr>
          <w:bCs/>
          <w:b/>
        </w:rPr>
        <w:t xml:space="preserve">Chậm đào thải</w:t>
      </w:r>
      <w:r>
        <w:t xml:space="preserve"> </w:t>
      </w:r>
      <w:r>
        <w:t xml:space="preserve">(slow exit): doanh nghiệp xác sống không phá sản nên vẫn chiếm dụng vốn vay ngân hàng, đất đai và lao động, qua đó kéo dài chu kỳ phân bổ sai nguồn lực (kênh Hsieh &amp; Klenow, 2009). Trong WBES PRC pool, một số firm zombie có FSTS cao do cố xuất khẩu để duy trì doanh thu nhưng năng suất thực lại thấp, góp phần kéo điểm uốn bậc hai về phía khoảng 49%.</w:t>
      </w:r>
    </w:p>
    <w:p>
      <w:pPr>
        <w:numPr>
          <w:ilvl w:val="0"/>
          <w:numId w:val="1018"/>
        </w:numPr>
      </w:pPr>
      <w:r>
        <w:rPr>
          <w:bCs/>
          <w:b/>
        </w:rPr>
        <w:t xml:space="preserve">Cản trở entry</w:t>
      </w:r>
      <w:r>
        <w:t xml:space="preserve"> </w:t>
      </w:r>
      <w:r>
        <w:t xml:space="preserve">(entry barrier): SME mới không thể chiếm thị phần vì zombie firms vẫn occupy thị trường nội địa với giá dumping. Điều này liên kết với Emerging Asia ở Mục 5.5: Việt Nam, Indonesia và India tránh được zombie effect nhờ market discipline mạnh hơn, nhờ đó entry rate cao và creative destruction (Schumpeter, 1942) hoạt động tốt hơn.</w:t>
      </w:r>
    </w:p>
    <w:p>
      <w:pPr>
        <w:numPr>
          <w:ilvl w:val="0"/>
          <w:numId w:val="1018"/>
        </w:numPr>
      </w:pPr>
      <w:r>
        <w:rPr>
          <w:bCs/>
          <w:b/>
        </w:rPr>
        <w:t xml:space="preserve">Concentration risk và zombie hybrid</w:t>
      </w:r>
      <w:r>
        <w:t xml:space="preserve">: phát hiện của Wang/Huang/Hong (2024) rằng 80% bank risk models của PRC phụ thuộc vào dominant tech providers, khi</w:t>
      </w:r>
      <w:r>
        <w:t xml:space="preserve"> </w:t>
      </w:r>
      <w:r>
        <w:rPr>
          <w:bCs/>
          <w:b/>
        </w:rPr>
        <w:t xml:space="preserve">kết hợp</w:t>
      </w:r>
      <w:r>
        <w:t xml:space="preserve"> </w:t>
      </w:r>
      <w:r>
        <w:t xml:space="preserve">với cấu trúc zombie firms, tạo ra rủi ro hệ thống: nếu fintech provider lock-in thất bại và zombie firms đồng loạt default cùng lúc thì có thể dẫn đến systemic banking crisis. Đây là rủi ro mới cho các doanh nghiệp xuất khẩu Việt Nam có liên hệ với Trung Quốc.</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 có ROA dưới 0 trong 3 năm liên tiếp kèm tăng nợ vay) để kiểm tra xem điểm uốn bậc hai khoảng 49% có dịch chuyển khi loại zombie firms khỏi PRC subsample hay không. Đây là robustness check #7 (zombie-excluded re-estimation), bổ sung sau các kiểm định Manufacturing-only, ICT-excluded, Tourism-separated SIDS, Construction-tested Gulf, Mining-excluded resource và Sector composition adjustment.</w:t>
      </w:r>
    </w:p>
    <w:bookmarkEnd w:id="85"/>
    <w:bookmarkStart w:id="86" w:name="X1f94acac25bed45da20cf53e9ab6edd651a0a2e"/>
    <w:p>
      <w:pPr>
        <w:pStyle w:val="Heading5"/>
      </w:pPr>
      <w:r>
        <w:t xml:space="preserve">2.3.2.5 Tổng hợp Emerging Asia (n=42.278) — bổ sung trường hợp Ấn Độ</w:t>
      </w:r>
    </w:p>
    <w:p>
      <w:pPr>
        <w:pStyle w:val="FirstParagraph"/>
      </w:pPr>
      <w:r>
        <w:t xml:space="preserve">FSTS 7,6%; FDI ≥10% chiếm 4,4%; tỷ lệ doanh nghiệp có R&amp;D dương là 16%. Phân tán nội bộ lớn (sd log 2,18), phản ánh dị biệt rộng xuyên 7 nước Emerging.</w:t>
      </w:r>
    </w:p>
    <w:p>
      <w:pPr>
        <w:pStyle w:val="BodyText"/>
      </w:pPr>
      <w:r>
        <w:rPr>
          <w:bCs/>
          <w:b/>
        </w:rPr>
        <w:t xml:space="preserve">Trường hợp Ấn Độ: chứng cứ lan tỏa công nghệ (technology spillovers)</w:t>
      </w:r>
      <w:r>
        <w:t xml:space="preserve">: Sikdar và Mukhopadhyay (2026,</w:t>
      </w:r>
      <w:r>
        <w:t xml:space="preserve"> </w:t>
      </w:r>
      <w:r>
        <w:rPr>
          <w:iCs/>
          <w:i/>
        </w:rPr>
        <w:t xml:space="preserve">Asian Development Review, 43</w:t>
      </w:r>
      <w:r>
        <w:t xml:space="preserve">(1), pp.37-75) thực hiện nghiên cứu panel trên</w:t>
      </w:r>
      <w:r>
        <w:t xml:space="preserve"> </w:t>
      </w:r>
      <w:r>
        <w:rPr>
          <w:bCs/>
          <w:b/>
        </w:rPr>
        <w:t xml:space="preserve">4.293 doanh nghiệp Ấn Độ giai đoạn 2006-2019</w:t>
      </w:r>
      <w:r>
        <w:t xml:space="preserve">. Nghiên cứu này phát hiện rằng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lên $42,396M (2012-2022); chi tiêu R&amp;D trì trệ ở mức 0,7% GDP; và</w:t>
      </w:r>
      <w:r>
        <w:t xml:space="preserve"> </w:t>
      </w:r>
      <w:r>
        <w:rPr>
          <w:bCs/>
          <w:b/>
        </w:rPr>
        <w:t xml:space="preserve">đơn đăng ký sáng chế của cư dân (resident patent filing)</w:t>
      </w:r>
      <w:r>
        <w:t xml:space="preserve"> </w:t>
      </w:r>
      <w:r>
        <w:t xml:space="preserve">tăng +11,9% mỗi năm trong 2012-2022.</w:t>
      </w:r>
    </w:p>
    <w:bookmarkEnd w:id="86"/>
    <w:bookmarkStart w:id="87" w:name="X7d16e64d9573be7621d2bb233de576b8fd08afb"/>
    <w:p>
      <w:pPr>
        <w:pStyle w:val="Heading5"/>
      </w:pPr>
      <w:r>
        <w:t xml:space="preserve">2.3.2.6 Mongolia — từ lời nguyền tài nguyên đến chuyển đổi critical minerals (n=1.905, 4 đợt 2009–2025)</w:t>
      </w:r>
    </w:p>
    <w:p>
      <w:pPr>
        <w:pStyle w:val="FirstParagraph"/>
      </w:pPr>
      <w:r>
        <w:t xml:space="preserve">FSTS đình trệ ở mức 4-6%; FDI ≥10% giảm rõ từ</w:t>
      </w:r>
      <w:r>
        <w:t xml:space="preserve"> </w:t>
      </w:r>
      <w:r>
        <w:rPr>
          <w:bCs/>
          <w:b/>
        </w:rPr>
        <w:t xml:space="preserve">7,2% xuống 3,2%</w:t>
      </w:r>
      <w:r>
        <w:t xml:space="preserve">; tỷ lệ website tăng từ 39% lên 65%. Đây là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chuyển đổi critical minerals (ADB, 2026, May)</w:t>
      </w:r>
      <w:r>
        <w:t xml:space="preserve">: Mongolia nằm ở giao điểm chiến lược của</w:t>
      </w:r>
      <w:r>
        <w:t xml:space="preserve"> </w:t>
      </w:r>
      <w:r>
        <w:rPr>
          <w:bCs/>
          <w:b/>
        </w:rPr>
        <w:t xml:space="preserve">11 critical minerals</w:t>
      </w:r>
      <w:r>
        <w:t xml:space="preserve"> </w:t>
      </w:r>
      <w:r>
        <w:t xml:space="preserve">(Cu, Li, Mo, Mn, Co, Ni, W, REE, v.v.). Cu exports đạt 1,69 Mt (2024), tương đương 22,1% tổng xuất khẩu. Oyu Tolgoi đặt mục tiêu 500.000 tấn mỗi năm trong 2028-2036. Trung Quốc giữ vị thế áp đảo về chế biến với 100% graphite, 90% Mn và 70% Co. CĐ2 sẽ bổ sung biến</w:t>
      </w:r>
      <w:r>
        <w:t xml:space="preserve"> </w:t>
      </w:r>
      <w:r>
        <w:rPr>
          <w:rStyle w:val="VerbatimChar"/>
        </w:rPr>
        <w:t xml:space="preserve">Critical_Minerals_Exposure</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5.6.1, Mongolia: Evolution 2009–2025 (4 đợt khảo sát WBES)</w:t>
            </w:r>
          </w:p>
        </w:tc>
      </w:tr>
    </w:tbl>
    <w:p>
      <w:pPr>
        <w:pStyle w:val="ImageCaption"/>
      </w:pPr>
      <w:r>
        <w:t xml:space="preserve">Hình 5.6.1, Mongolia: Evolution 2009–2025 (4 đợt khảo sát WBES)</w:t>
      </w:r>
    </w:p>
    <w:bookmarkEnd w:id="87"/>
    <w:bookmarkStart w:id="88" w:name="sids-thái-bình-dương-7-nước-n1.371"/>
    <w:p>
      <w:pPr>
        <w:pStyle w:val="Heading5"/>
      </w:pPr>
      <w:r>
        <w:t xml:space="preserve">2.3.2.7 SIDS Thái Bình Dương (7 nước, n=1.371)</w:t>
      </w:r>
    </w:p>
    <w:p>
      <w:pPr>
        <w:pStyle w:val="FirstParagraph"/>
      </w:pPr>
      <w:r>
        <w:rPr>
          <w:bCs/>
          <w:b/>
        </w:rPr>
        <w:t xml:space="preserve">Bảy nước</w:t>
      </w:r>
      <w:r>
        <w:t xml:space="preserve">: Fiji (FJI), Papua New Guinea (PNG), Solomon Islands (SLB), Tonga (TON), Vanuatu (VUT), Samoa (WSM) và</w:t>
      </w:r>
      <w:r>
        <w:t xml:space="preserve"> </w:t>
      </w:r>
      <w:r>
        <w:rPr>
          <w:bCs/>
          <w:b/>
        </w:rPr>
        <w:t xml:space="preserve">Kiribati (KIR, bổ sung năm 2025)</w:t>
      </w:r>
      <w:r>
        <w:t xml:space="preserve">. Tổng n=1.371. FSTS 6,3%; FDI ≥10% đạt</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Đây là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trường hợp biên CỰC ĐOAN nhất</w:t>
      </w:r>
      <w:r>
        <w:t xml:space="preserve">: FSTS 1,03%, FDI 0,7%, website 18,7%, ISO 1,3%, sd log 1,48, SME 93,3%. GDP bình quân đầu người khoảng 1.700 USD, viện trợ AUS/NZ khoảng 30% GDP.</w:t>
      </w:r>
    </w:p>
    <w:bookmarkEnd w:id="88"/>
    <w:bookmarkEnd w:id="89"/>
    <w:bookmarkStart w:id="91" w:name="bối-cảnh-kinh-tế-vĩ-mô-pics-pacific"/>
    <w:p>
      <w:pPr>
        <w:pStyle w:val="Heading4"/>
      </w:pPr>
      <w:r>
        <w:t xml:space="preserve">5.7.5 Bối cảnh kinh tế vĩ mô PICs Pacific</w:t>
      </w:r>
    </w:p>
    <w:p>
      <w:pPr>
        <w:pStyle w:val="FirstParagraph"/>
      </w:pPr>
      <w:r>
        <w:t xml:space="preserve">PICs vận hành trên 4 trụ cột MIRAB (Bertram, 2006): (1) khu vực công chủ đạo (30-50% việc làm chính thức); (2) phụ thuộc 4 nguồn ngoại sinh là nông nghiệp tự cấp, ODA 30% GDP, remittances 25-40% GDP và khai thác tài nguyên; (3) thanh niên thất nghiệp 15-30%, dân số dưới 25 tuổi chiếm hơn 50%; (4) migration labor qua PLMS Australia và RSE New Zealand như kênh sinh tồn (Vanuatu RSE chiếm 15-20% GDP). Có thể liên kết các điểm sau: Fiji với website 74,8% vượt Singapore (nhờ PLMS và remittance corridors); Kiribati chỉ 18,7% (các outer island không có internet); và SIDS innovation 41,5% (bricolage theo Baker &amp; Nelson 2005). CĐ2 sẽ bổ sung 3 control variables đặc thù PICs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Start w:id="90" w:name="so-sánh-tổng-hợp"/>
    <w:p>
      <w:pPr>
        <w:pStyle w:val="Heading5"/>
      </w:pPr>
      <w:r>
        <w:t xml:space="preserve">2.3.2.8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90"/>
    <w:bookmarkEnd w:id="91"/>
    <w:bookmarkStart w:id="96" w:name="các-yếu-tố-giải-thích-sơ-bộ"/>
    <w:p>
      <w:pPr>
        <w:pStyle w:val="Heading4"/>
      </w:pPr>
      <w:r>
        <w:t xml:space="preserve">2.3.3 Các yếu tố giải thích sơ bộ</w:t>
      </w:r>
    </w:p>
    <w:p>
      <w:pPr>
        <w:pStyle w:val="FirstParagraph"/>
      </w:pPr>
      <w:r>
        <w:rPr>
          <w:bCs/>
          <w:b/>
        </w:rPr>
        <w:t xml:space="preserve">Bảng 6.1</w:t>
      </w:r>
      <w:r>
        <w:t xml:space="preserve">.</w:t>
      </w:r>
      <w:r>
        <w:t xml:space="preserve"> </w:t>
      </w:r>
      <w:r>
        <w:rPr>
          <w:iCs/>
          <w:i/>
        </w:rPr>
        <w:t xml:space="preserve">Hệ số tương quan Pearson (n=101.185).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ở SIDS (+0,222); (2) FDI âm ở Advanced; (3) FSTS dương ở Advanced, phù hợp Uppsala và OLI; (4) TCI dương ở SIDS và Advanced; (5) DAI âm ở Advanced do Tier-1 saturation; (6) đảo dấu cross-regime, phản ánh institutional moderation.</w:t>
      </w:r>
    </w:p>
    <w:p>
      <w:pPr>
        <w:pStyle w:val="BodyText"/>
      </w:pPr>
      <w:r>
        <w:rPr>
          <w:bCs/>
          <w:b/>
        </w:rPr>
        <w:t xml:space="preserve">Cảnh báo schema BREADY 2025</w:t>
      </w:r>
      <w:r>
        <w:t xml:space="preserve">: bảng 6.1 có thể bị nhiễu schema effect, cần kiểm chứng qua hệ thống</w:t>
      </w:r>
      <w:r>
        <w:t xml:space="preserve"> </w:t>
      </w:r>
      <w:r>
        <w:t xml:space="preserve">“</w:t>
      </w:r>
      <w:r>
        <w:t xml:space="preserve">triple-defense</w:t>
      </w:r>
      <w:r>
        <w:t xml:space="preserve">”</w:t>
      </w:r>
      <w:r>
        <w:t xml:space="preserve"> </w:t>
      </w:r>
      <w:r>
        <w:t xml:space="preserve">ở Mục 4.11 file 15.</w:t>
      </w:r>
    </w:p>
    <w:p>
      <w:pPr>
        <w:pStyle w:val="BodyText"/>
      </w:pPr>
      <w:r>
        <w:rPr>
          <w:bCs/>
          <w:b/>
        </w:rPr>
        <w:t xml:space="preserve">Lý giải dị biệt cross-regime qua Xu (2024) de jure-de facto</w:t>
      </w:r>
      <w:r>
        <w:t xml:space="preserve">: khoảng cách giữa formal và enforcement giải thích cho việc FDI đảo dấu giữa Emerging và Advanced.</w:t>
      </w:r>
    </w:p>
    <w:p>
      <w:pPr>
        <w:pStyle w:val="BodyText"/>
      </w:pPr>
      <w:r>
        <w:rPr>
          <w:bCs/>
          <w:b/>
        </w:rPr>
        <w:t xml:space="preserve">Lý giải bổ sung: Institutional Transaction Costs xuyên quốc gia (khung TCE Coase-Williamson, mở rộng từ Banalieva &amp; Dhanaraj 2019)</w:t>
      </w:r>
      <w:r>
        <w:t xml:space="preserve">: Việc đối chiếu phân tích Singapore và phân tích Việt Nam cho thấy dị biệt cross-regime trong Bảng 6.1 không chỉ phản ánh chất lượng thể chế formal mà còn phản ánh</w:t>
      </w:r>
      <w:r>
        <w:t xml:space="preserve"> </w:t>
      </w:r>
      <w:r>
        <w:rPr>
          <w:bCs/>
          <w:b/>
        </w:rPr>
        <w:t xml:space="preserve">chi phí giao dịch thể chế (institutional transaction costs)</w:t>
      </w:r>
      <w:r>
        <w:t xml:space="preserve">, vốn đo lường hạ tầng thương mại, logistics và năng lực hấp thụ chi phí điều phối xuyên biên giới (cross-border coordination cost absorption). Khung CDCM (Mục 2.7 file 14) hợp nhất 3 chiều xuyên quốc gia như sau:</w:t>
      </w:r>
    </w:p>
    <w:p>
      <w:pPr>
        <w:pStyle w:val="BodyText"/>
      </w:pPr>
      <w:r>
        <w:rPr>
          <w:bCs/>
          <w:b/>
        </w:rPr>
        <w:t xml:space="preserve">Bảng 6.1.2</w:t>
      </w:r>
      <w:r>
        <w:t xml:space="preserve">.</w:t>
      </w:r>
      <w:r>
        <w:t xml:space="preserve"> </w:t>
      </w:r>
      <w:r>
        <w:rPr>
          <w:iCs/>
          <w:i/>
        </w:rPr>
        <w:t xml:space="preserve">Đối chiếu I-P curve + cơ chế DAI/TCI giữa Việt Nam vs Singapore, bằng chứng cho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null 2015, âm 2023 (β=-0,912, p=,043) ở DAI×FSTS, trở thành</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trở thành</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tức</w:t>
            </w:r>
            <w:r>
              <w:t xml:space="preserve"> </w:t>
            </w:r>
            <w:r>
              <w:rPr>
                <w:bCs/>
                <w:b/>
              </w:rPr>
              <w:t xml:space="preserve">không xác lập nhân quả</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(chỉ Tier 1) khiến chi phí điều phối xuyên biên giới (cross-border coordination cost) tăng vọt theo siêu tuyến tính (super-linearly, Brynjolfsson &amp; McAfee, 2014) ngay ở mức xuất khẩu trung bình, qua đó đẩy điểm uốn (TP) về vùng FSTS thấp 39-46%. Ở Singapore, hạ tầng số (Tier 1+2 gồm website, e-payment và integrated logistics) đã hấp thụ phần lớn chi phí này, đẩy ranh giới quá tải (overload boundary) về vùng FSTS cực cao khoảng 82%. Vì vậy,</w:t>
      </w:r>
      <w:r>
        <w:t xml:space="preserve"> </w:t>
      </w:r>
      <w:r>
        <w:rPr>
          <w:bCs/>
          <w:b/>
        </w:rPr>
        <w:t xml:space="preserve">bằng chứng</w:t>
      </w:r>
      <w:r>
        <w:rPr>
          <w:bCs/>
          <w:b/>
        </w:rPr>
        <w:t xml:space="preserve"> </w:t>
      </w:r>
      <w:r>
        <w:rPr>
          <w:bCs/>
          <w:b/>
        </w:rPr>
        <w:t xml:space="preserve">“</w:t>
      </w:r>
      <w:r>
        <w:rPr>
          <w:bCs/>
          <w:b/>
        </w:rPr>
        <w:t xml:space="preserve">đường cong U ngược nghẹt thở</w:t>
      </w:r>
      <w:r>
        <w:rPr>
          <w:bCs/>
          <w:b/>
        </w:rPr>
        <w:t xml:space="preserve">”</w:t>
      </w:r>
      <w:r>
        <w:rPr>
          <w:bCs/>
          <w:b/>
        </w:rPr>
        <w:t xml:space="preserve"> </w:t>
      </w:r>
      <w:r>
        <w:rPr>
          <w:bCs/>
          <w:b/>
        </w:rPr>
        <w:t xml:space="preserve">của Lu &amp; Beamish (2004) chỉ vận hành ở các nước có institutional transaction costs ở mức trung bình đến cao</w:t>
      </w:r>
      <w:r>
        <w:t xml:space="preserve">, nơi chi phí điều phối phi tuyến đủ lớn để tạo turnaround point trong vùng FSTS quan sát được; còn ở các nước có hạ tầng số trưởng thành, U-curve bị</w:t>
      </w:r>
      <w:r>
        <w:t xml:space="preserve"> </w:t>
      </w:r>
      <w:r>
        <w:t xml:space="preserve">“</w:t>
      </w:r>
      <w:r>
        <w:t xml:space="preserve">kéo dãn</w:t>
      </w:r>
      <w:r>
        <w:t xml:space="preserve">”</w:t>
      </w:r>
      <w:r>
        <w:t xml:space="preserve"> </w:t>
      </w:r>
      <w:r>
        <w:t xml:space="preserve">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đưa ra ba dự đoán cho CĐ2 và luận án 5 chương. Một là</w:t>
      </w:r>
      <w:r>
        <w:t xml:space="preserve"> </w:t>
      </w:r>
      <w:r>
        <w:rPr>
          <w:bCs/>
          <w:b/>
        </w:rPr>
        <w:t xml:space="preserve">41 nước châu Á</w:t>
      </w:r>
      <w:r>
        <w:t xml:space="preserve"> </w:t>
      </w:r>
      <w:r>
        <w:t xml:space="preserve">sẽ tạo thành một continuum institutional transaction costs, trải từ Singapore (cực thấp), qua Việt Nam và Indonesia (trung bình), đến Mongolia, Pakistan và Bangladesh (cao). Hai là điểm uốn TP của đường cong I-P sẽ tương quan ngược với mức trưởng thành hạ tầng số quốc gia (đo qua DAI Tier 1+2 trung bình quốc gia). Ba là vai trò của TCI sẽ chuyển từ scarce advantage (ở các nước transaction cost cao) sang hygiene factor (ở các nước transaction cost thấp), qua đó xác nhận giả thuyết H7 về tương tác industry × institutional dynamism của Kafouros et al. (2023). Đây là</w:t>
      </w:r>
      <w:r>
        <w:t xml:space="preserve"> </w:t>
      </w:r>
      <w:r>
        <w:rPr>
          <w:bCs/>
          <w:b/>
        </w:rPr>
        <w:t xml:space="preserve">đóng góp lý thuyết MỚI</w:t>
      </w:r>
      <w:r>
        <w:t xml:space="preserve"> </w:t>
      </w:r>
      <w:r>
        <w:t xml:space="preserve">cho luận án, tức việc lặp lại CDCM xuyên 41 nước châu Á.</w:t>
      </w:r>
    </w:p>
    <w:p>
      <w:pPr>
        <w:pStyle w:val="BodyText"/>
      </w:pPr>
      <w:r>
        <w:rPr>
          <w:bCs/>
          <w:b/>
        </w:rPr>
        <w:t xml:space="preserve">Tham chiếu</w:t>
      </w:r>
      <w:r>
        <w:t xml:space="preserve">: Coase (1937); Williamson (1985); Brynjolfsson &amp; McAfee (2014); Banalieva &amp; Dhanaraj (2019); Kafouros et al. (2023); Đỗ &amp; Phan (2026, phân tích Việt Nam,</w:t>
      </w:r>
      <w:r>
        <w:t xml:space="preserve"> </w:t>
      </w:r>
      <w:r>
        <w:rPr>
          <w:iCs/>
          <w:i/>
        </w:rPr>
        <w:t xml:space="preserve">APJM</w:t>
      </w:r>
      <w:r>
        <w:t xml:space="preserve">); Mục 2.7 file 14 (Khung 4-Tier Verhoef + CDCM).</w:t>
      </w:r>
    </w:p>
    <w:p>
      <w:pPr>
        <w:pStyle w:val="BodyText"/>
      </w:pPr>
      <w:r>
        <w:rPr>
          <w:bCs/>
          <w:b/>
        </w:rPr>
        <w:t xml:space="preserve">Hiệu ứng đẩy nhanh giao hàng và bất định chính sách thuế quan trong khung ICRV (front-loading effect và tariff uncertainty)</w:t>
      </w:r>
      <w:r>
        <w:t xml:space="preserve">: Theo ghi chú phân tích nội bộ của tác giả (2026), bất định chính sách thuế quan Mỹ 2026 (xem Lớp 7 ở Mục 1.1 file 14) tạo ra</w:t>
      </w:r>
      <w:r>
        <w:t xml:space="preserve"> </w:t>
      </w:r>
      <w:r>
        <w:rPr>
          <w:bCs/>
          <w:b/>
        </w:rPr>
        <w:t xml:space="preserve">hiệu ứng đẩy nhanh giao hàng (front-loading effect)</w:t>
      </w:r>
      <w:r>
        <w:t xml:space="preserve">, khi doanh nghiệp xuất khẩu Việt Nam đẩy nhanh giao hàng ngắn hạn nhằm tận dụng cửa sổ thuế thấp 10% trước khi mức thuế tăng lên 15% trong nửa cuối 2026. Hậu quả là doanh thu xuất khẩu tăng ngắn hạn trong 2025 (đóng góp vào GDP 8,0%) nhưng lại làm giảm đà tăng trưởng 2026-2027 do hợp đồng tương lai bị</w:t>
      </w:r>
      <w:r>
        <w:t xml:space="preserve"> </w:t>
      </w:r>
      <w:r>
        <w:t xml:space="preserve">“</w:t>
      </w:r>
      <w:r>
        <w:t xml:space="preserve">ăn trước</w:t>
      </w:r>
      <w:r>
        <w:t xml:space="preserve">”</w:t>
      </w:r>
      <w:r>
        <w:t xml:space="preserve">. Trong khung ICRV, việc đẩy nhanh giao hàng cộng với bất định chính sách vận hành như một</w:t>
      </w:r>
      <w:r>
        <w:t xml:space="preserve"> </w:t>
      </w:r>
      <w:r>
        <w:rPr>
          <w:bCs/>
          <w:b/>
        </w:rPr>
        <w:t xml:space="preserve">cú sốc ngoại sinh (exogenous shock)</w:t>
      </w:r>
      <w:r>
        <w:t xml:space="preserve"> </w:t>
      </w:r>
      <w:r>
        <w:t xml:space="preserve">đảo dấu hệ số FSTS giữa hai nhóm. Với (a)</w:t>
      </w:r>
      <w:r>
        <w:t xml:space="preserve"> </w:t>
      </w:r>
      <w:r>
        <w:rPr>
          <w:bCs/>
          <w:b/>
        </w:rPr>
        <w:t xml:space="preserve">nhóm Emerging có năng lực FDI cao</w:t>
      </w:r>
      <w:r>
        <w:t xml:space="preserve"> </w:t>
      </w:r>
      <w:r>
        <w:t xml:space="preserve">(doanh nghiệp FDI sản xuất chế biến tại Việt Nam), khả năng đẩy nhanh và phòng ngừa rủi ro tốt khiến tương quan FSTS với năng suất dương mạnh trong ngắn hạn 2025, rồi đảo chiều âm trong 2026-2027 do</w:t>
      </w:r>
      <w:r>
        <w:t xml:space="preserve"> </w:t>
      </w:r>
      <w:r>
        <w:rPr>
          <w:bCs/>
          <w:b/>
        </w:rPr>
        <w:t xml:space="preserve">cạn kiệt đơn hàng tương lai (exhaustion of forward orders)</w:t>
      </w:r>
      <w:r>
        <w:t xml:space="preserve">. Với (b)</w:t>
      </w:r>
      <w:r>
        <w:t xml:space="preserve"> </w:t>
      </w:r>
      <w:r>
        <w:rPr>
          <w:bCs/>
          <w:b/>
        </w:rPr>
        <w:t xml:space="preserve">nhóm Emerging có năng lực FDI thấp</w:t>
      </w:r>
      <w:r>
        <w:t xml:space="preserve"> </w:t>
      </w:r>
      <w:r>
        <w:t xml:space="preserve">(doanh nghiệp nội địa SME thiếu</w:t>
      </w:r>
      <w:r>
        <w:t xml:space="preserve"> </w:t>
      </w:r>
      <w:r>
        <w:rPr>
          <w:bCs/>
          <w:b/>
        </w:rPr>
        <w:t xml:space="preserve">tồn kho dự phòng (buffer inventory)</w:t>
      </w:r>
      <w:r>
        <w:t xml:space="preserve">), việc không thể đẩy nhanh giao hàng khiến tương quan FSTS với năng suất yếu hoặc âm ở cả 2 giai đoạn. Về</w:t>
      </w:r>
      <w:r>
        <w:t xml:space="preserve"> </w:t>
      </w:r>
      <w:r>
        <w:rPr>
          <w:bCs/>
          <w:b/>
        </w:rPr>
        <w:t xml:space="preserve">sự phân hóa giữa doanh nghiệp lớn và SME</w:t>
      </w:r>
      <w:r>
        <w:t xml:space="preserve">: tập đoàn lớn hấp thụ chi phí thuế quan qua đa thị trường và phòng ngừa tài chính (financial hedging), trong khi SME phải chọn giữa tự hấp thụ chi phí (giảm biên lợi nhuận) hoặc chuyển giá cho khách hàng (mất đơn hàng). Hàm ý cho CĐ2 là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nhân với thời điểm giao hàng quý 1-2 năm 2026) vào kiểm định độ vững (robustness check) #8 về đẩy nhanh giao hàng được hiệu chỉnh (front-loading-adjusted re-estimation).</w:t>
      </w:r>
    </w:p>
    <w:bookmarkStart w:id="92" w:name="X91b9fe7408792a1402d97f763d72aec517b45c6"/>
    <w:p>
      <w:pPr>
        <w:pStyle w:val="Heading5"/>
      </w:pPr>
      <w:r>
        <w:t xml:space="preserve">2.3.3.1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phân tầng theo khu vực địa lý.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nghịch lý giới châu Á</w:t>
      </w:r>
      <w:r>
        <w:t xml:space="preserve">: EAP có 33,4% nữ TMT, cao nhất toàn cầu, trong khi South Asia và MENA thấp nhất, phản ánh sự không đồng nhất về thể chế và văn hóa trong nội bộ</w:t>
      </w:r>
      <w:r>
        <w:t xml:space="preserve"> </w:t>
      </w:r>
      <w:r>
        <w:t xml:space="preserve">“</w:t>
      </w:r>
      <w:r>
        <w:t xml:space="preserve">châu Á</w:t>
      </w:r>
      <w:r>
        <w:t xml:space="preserve">”</w:t>
      </w:r>
      <w:r>
        <w:t xml:space="preserve">; (b)</w:t>
      </w:r>
      <w:r>
        <w:t xml:space="preserve"> </w:t>
      </w:r>
      <w:r>
        <w:rPr>
          <w:bCs/>
          <w:b/>
        </w:rPr>
        <w:t xml:space="preserve">MENA thấp nhất do rào cản cấu trúc</w:t>
      </w:r>
      <w:r>
        <w:t xml:space="preserve">: MENA chỉ có 3,3% nữ TMT và 1,7% nữ ownership, thấp nhất toàn cầu, phản ánh rào cản thể chế và luật pháp đặc thù (World Bank, 2024,</w:t>
      </w:r>
      <w:r>
        <w:t xml:space="preserve"> </w:t>
      </w:r>
      <w:r>
        <w:rPr>
          <w:iCs/>
          <w:i/>
        </w:rPr>
        <w:t xml:space="preserve">Women, Business and the Law</w:t>
      </w:r>
      <w:r>
        <w:t xml:space="preserve">); (c)</w:t>
      </w:r>
      <w:r>
        <w:t xml:space="preserve"> </w:t>
      </w:r>
      <w:r>
        <w:rPr>
          <w:bCs/>
          <w:b/>
        </w:rPr>
        <w:t xml:space="preserve">Trần sở hữu phổ biến</w:t>
      </w:r>
      <w:r>
        <w:t xml:space="preserve">: 43/50 nền kinh tế có ownership ceiling cao hơn management representation, gợi ý rào cản đặc thù ở cấp sở hữu vốn (equity ownership) so với vị trí quản lý; (d)</w:t>
      </w:r>
      <w:r>
        <w:t xml:space="preserve"> </w:t>
      </w:r>
      <w:r>
        <w:rPr>
          <w:bCs/>
          <w:b/>
        </w:rPr>
        <w:t xml:space="preserve">Các tham chiếu biên về TMT moderation</w:t>
      </w:r>
      <w:r>
        <w:t xml:space="preserve">: Mardones-Ibáñez (2025,</w:t>
      </w:r>
      <w:r>
        <w:t xml:space="preserve"> </w:t>
      </w:r>
      <w:r>
        <w:rPr>
          <w:iCs/>
          <w:i/>
        </w:rPr>
        <w:t xml:space="preserve">SAGE Open</w:t>
      </w:r>
      <w:r>
        <w:t xml:space="preserve">) trong bối cảnh Chile cùng Al-Najjar et al. (2025,</w:t>
      </w:r>
      <w:r>
        <w:t xml:space="preserve"> </w:t>
      </w:r>
      <w:r>
        <w:rPr>
          <w:iCs/>
          <w:i/>
        </w:rPr>
        <w:t xml:space="preserve">IJHRM</w:t>
      </w:r>
      <w:r>
        <w:t xml:space="preserve">) về hiệu ứng U-shaped TMT gender ở S&amp;P 500 không suy rộng trực tiếp được sang ICRV Emerging hay Frontier; (e)</w:t>
      </w:r>
      <w:r>
        <w:t xml:space="preserve"> </w:t>
      </w:r>
      <w:r>
        <w:rPr>
          <w:bCs/>
          <w:b/>
        </w:rPr>
        <w:t xml:space="preserve">Giả thuyết bổ trợ công nghệ</w:t>
      </w:r>
      <w:r>
        <w:t xml:space="preserve"> </w:t>
      </w:r>
      <w:r>
        <w:t xml:space="preserve">(Carboni et al., WBES 192K obs, 158 nước, 2006–2023): female top manager (</w:t>
      </w:r>
      <w:r>
        <w:rPr>
          <w:rStyle w:val="VerbatimChar"/>
        </w:rPr>
        <w:t xml:space="preserve">b7a</w:t>
      </w:r>
      <w:r>
        <w:t xml:space="preserve">) tương tác với technology adoption, với tác động lên ESG-performance mạnh hơn khi doanh nghiệp có DAI cao; (f)</w:t>
      </w:r>
      <w:r>
        <w:t xml:space="preserve"> </w:t>
      </w:r>
      <w:r>
        <w:rPr>
          <w:bCs/>
          <w:b/>
        </w:rPr>
        <w:t xml:space="preserve">Tính dị biệt về hiệu quả doanh nghiệp</w:t>
      </w:r>
      <w:r>
        <w:t xml:space="preserve"> </w:t>
      </w:r>
      <w:r>
        <w:t xml:space="preserve">(World Bank, 2024,</w:t>
      </w:r>
      <w:r>
        <w:t xml:space="preserve"> </w:t>
      </w:r>
      <w:r>
        <w:rPr>
          <w:iCs/>
          <w:i/>
        </w:rPr>
        <w:t xml:space="preserve">Unlocking Global Growth: Closing the Gender Gap in Business</w:t>
      </w:r>
      <w:r>
        <w:t xml:space="preserve">): doanh nghiệp có nữ sở hữu đa số có doanh thu trên nhân viên thấp hơn trung bình nhưng tốc độ tăng trưởng việc làm cao hơn ở nhóm Frontier và Emerging, một pattern phù hợp với việc CAGR việc làm SIDS cao nhất (5,77%) ở Mục 4.3.</w:t>
      </w:r>
    </w:p>
    <w:p>
      <w:pPr>
        <w:pStyle w:val="BodyText"/>
      </w:pPr>
      <w:r>
        <w:rPr>
          <w:bCs/>
          <w:b/>
        </w:rPr>
        <w:t xml:space="preserve">Liên kết với Mục 4.5.6</w:t>
      </w:r>
      <w:r>
        <w:t xml:space="preserve">: Chi tiết phân tầng female top manager theo ICRV sub-regime và hàm ý của biến</w:t>
      </w:r>
      <w:r>
        <w:t xml:space="preserve"> </w:t>
      </w:r>
      <w:r>
        <w:rPr>
          <w:rStyle w:val="VerbatimChar"/>
        </w:rPr>
        <w:t xml:space="preserve">b7a</w:t>
      </w:r>
      <w:r>
        <w:t xml:space="preserve"> </w:t>
      </w:r>
      <w:r>
        <w:t xml:space="preserve">trong specification của CĐ2 được trình bày ở Mục 4.5.6 file 15.</w:t>
      </w:r>
    </w:p>
    <w:p>
      <w:pPr>
        <w:pStyle w:val="BodyText"/>
      </w:pPr>
      <w:r>
        <w:rPr>
          <w:bCs/>
          <w:b/>
        </w:rPr>
        <w:t xml:space="preserve">Nguồn</w:t>
      </w:r>
      <w:r>
        <w:t xml:space="preserve">: Carboni et al. (2024/2025, WBES ESG indicators); World Bank (2024)</w:t>
      </w:r>
      <w:r>
        <w:t xml:space="preserve"> </w:t>
      </w:r>
      <w:r>
        <w:rPr>
          <w:iCs/>
          <w:i/>
        </w:rPr>
        <w:t xml:space="preserve">Unlocking Global Growth: Closing the Gender Gap in Business</w:t>
      </w:r>
      <w:r>
        <w:t xml:space="preserve"> </w:t>
      </w:r>
      <w:r>
        <w:t xml:space="preserve">(WBES 167 nền kinh tế); Mardones-Ibáñez (2025,</w:t>
      </w:r>
      <w:r>
        <w:t xml:space="preserve"> </w:t>
      </w:r>
      <w:r>
        <w:rPr>
          <w:iCs/>
          <w:i/>
        </w:rPr>
        <w:t xml:space="preserve">SAGE Open</w:t>
      </w:r>
      <w:r>
        <w:t xml:space="preserve">); Al-Najjar et al. (2025,</w:t>
      </w:r>
      <w:r>
        <w:t xml:space="preserve"> </w:t>
      </w:r>
      <w:r>
        <w:rPr>
          <w:iCs/>
          <w:i/>
        </w:rPr>
        <w:t xml:space="preserve">IJHRM</w:t>
      </w:r>
      <w:r>
        <w:t xml:space="preserve">).</w:t>
      </w:r>
    </w:p>
    <w:bookmarkEnd w:id="92"/>
    <w:bookmarkStart w:id="93" w:name="đường-cong-u-của-innovation-digital-tech"/>
    <w:p>
      <w:pPr>
        <w:pStyle w:val="Heading5"/>
      </w:pPr>
      <w:r>
        <w:t xml:space="preserve">2.3.3.2 Đường cong U của innovation digital tech</w:t>
      </w:r>
    </w:p>
    <w:p>
      <w:pPr>
        <w:pStyle w:val="FirstParagraph"/>
      </w:pPr>
      <w:r>
        <w:rPr>
          <w:bCs/>
          <w:b/>
        </w:rPr>
        <w:t xml:space="preserve">Giai đoạn 1 (chi phí đầu tư cao)</w:t>
      </w:r>
      <w:r>
        <w:t xml:space="preserve">: trong 1-3 năm đầu, hiệu quả tài chính ngắn hạn giảm, phù hợp với DAI âm -0,129 ở Advanced và hiện tượng</w:t>
      </w:r>
      <w:r>
        <w:t xml:space="preserve"> </w:t>
      </w:r>
      <w:r>
        <w:t xml:space="preserve">“</w:t>
      </w:r>
      <w:r>
        <w:t xml:space="preserve">digital theatre</w:t>
      </w:r>
      <w:r>
        <w:t xml:space="preserve">”</w:t>
      </w:r>
      <w:r>
        <w:t xml:space="preserve"> </w:t>
      </w:r>
      <w:r>
        <w:t xml:space="preserve">(Verhoef et al., 2021).</w:t>
      </w:r>
      <w:r>
        <w:t xml:space="preserve"> </w:t>
      </w:r>
      <w:r>
        <w:rPr>
          <w:bCs/>
          <w:b/>
        </w:rPr>
        <w:t xml:space="preserve">Giai đoạn 2 (productivity payoff)</w:t>
      </w:r>
      <w:r>
        <w:t xml:space="preserve">: khi vượt ngưỡng khoảng 3% revenue mỗi năm và duy trì trong 3-5 năm, doanh nghiệp đạt được tăng năng suất, cạnh tranh quốc tế và profit margin. Phần này liên kết với Tier-1/Tier-2 ở Mục 4.4.5 file 15. Bằng chứng: Trung Quốc R&amp;D 39,4% ở late-stage Tier-2; Vùng Vịnh ở transition phase; Việt Nam R&amp;D 6,1% ở early Tier-2.</w:t>
      </w:r>
    </w:p>
    <w:bookmarkEnd w:id="93"/>
    <w:bookmarkStart w:id="94" w:name="Xf9ec9b407e15d41f89e26f6f914c1035a1a1690"/>
    <w:p>
      <w:pPr>
        <w:pStyle w:val="Heading5"/>
      </w:pPr>
      <w:r>
        <w:t xml:space="preserve">2.3.3.3 Bối cảnh trợ cấp công nghiệp toàn cầu (OECD MAGIC, tháng 6 năm 2026)</w:t>
      </w:r>
    </w:p>
    <w:p>
      <w:pPr>
        <w:pStyle w:val="FirstParagraph"/>
      </w:pPr>
      <w:r>
        <w:t xml:space="preserve">Báo cáo</w:t>
      </w:r>
      <w:r>
        <w:t xml:space="preserve"> </w:t>
      </w:r>
      <w:r>
        <w:rPr>
          <w:iCs/>
          <w:i/>
        </w:rPr>
        <w:t xml:space="preserve">OECD MAGIC Database of Industrial Subsidies</w:t>
      </w:r>
      <w:r>
        <w:t xml:space="preserve"> </w:t>
      </w:r>
      <w:r>
        <w:t xml:space="preserve">phiên bản tháng 6 năm 2026 (OECD, 2026) cung cấp dữ liệu cấp doanh nghiệp gần nhất về tình hình trợ cấp công nghiệp toàn cầu, dựa trên 525 tập đoàn sản xuất lớn nhất thế giới ở 15 ngành công nghiệp trọng yếu giai đoạn 2005-2024. Bộ dữ liệu này cung cấp ba lớp bối cảnh quan trọng cho việc diễn giải hiện trạng hiệu quả hoạt động doanh nghiệp tại châu Á.</w:t>
      </w:r>
    </w:p>
    <w:p>
      <w:pPr>
        <w:pStyle w:val="BodyText"/>
      </w:pPr>
      <w:r>
        <w:rPr>
          <w:bCs/>
          <w:b/>
        </w:rPr>
        <w:t xml:space="preserve">Lớp một: Quy mô và phân bố địa lý của trợ cấp.</w:t>
      </w:r>
      <w:r>
        <w:t xml:space="preserve"> </w:t>
      </w:r>
      <w:r>
        <w:t xml:space="preserve">Trợ cấp công nghiệp đã đạt mức cao nhất kể từ khủng hoảng tài chính 2008-09: 1,3% doanh thu doanh nghiệp năm 2024, tổng cộng USD 108 tỷ trên 15 ngành (OECD, 2026). Doanh nghiệp đóng trụ sở tại Trung Quốc nhận trung bình gấp ba đến tám lần mức hỗ trợ so với doanh nghiệp OECD trong giai đoạn 2005-2024; trong khi đó doanh nghiệp tại Brazil, Ấn Độ và Indonesia nhận mức tương đương khoảng cách với Bắc Mỹ. Sự bất đối xứng này trùng khớp với dải biến thiên ICRV của luận án: chế độ trợ cấp đậm đặc ở Trung Quốc (ICRV III, Upper-middle) phản ánh một cấu hình thể chế nơi nhà nước đóng vai trò chủ động trong việc chuyển hóa quan hệ I-P thành thị phần.</w:t>
      </w:r>
    </w:p>
    <w:p>
      <w:pPr>
        <w:pStyle w:val="BodyText"/>
      </w:pPr>
      <w:r>
        <w:rPr>
          <w:bCs/>
          <w:b/>
        </w:rPr>
        <w:t xml:space="preserve">Lớp hai: Loại hình trợ cấp và vai trò doanh nghiệp nhà nước (DNNN).</w:t>
      </w:r>
      <w:r>
        <w:t xml:space="preserve"> </w:t>
      </w:r>
      <w:r>
        <w:t xml:space="preserve">OECD MAGIC phân tách ba loại trợ cấp chính: tài trợ trực tiếp (grants), ưu đãi thuế thu nhập (income-tax concessions) và vay vốn dưới giá thị trường (below-market borrowings, BMB). Cấu trúc trợ cấp khác nhau theo khu vực: Nhật Bản, Hàn Quốc và Mỹ chủ yếu ưu đãi thuế gắn với R&amp;D và tài sản cố định; châu Âu nghiêng về tài trợ trực tiếp; Trung Quốc dồn vào tài trợ và BMB do hệ thống tài chính chủ yếu là ngân hàng nhà nước cho vay ở lãi suất gần với mức tham chiếu. Doanh nghiệp với tỷ lệ sở hữu nhà nước trên 25% nhận trợ cấp cao hơn rõ rệt so với doanh nghiệp tư nhân, đặc biệt qua kênh BMB. Trong ngành đóng tàu, 65% doanh thu toàn ngành đến từ doanh nghiệp có sở hữu nhà nước vượt 25%. Phát hiện này nối tiếp lý thuyết khoảng trống thể chế của Khanna và Palepu (2010): khi cơ chế thị trường chưa hoàn thiện, DNNN trở thành cả người nhận lẫn người trung chuyển trợ cấp, tạo ra sự thiếu minh bạch xung quanh phạm vi thực sự của hỗ trợ công nghiệp.</w:t>
      </w:r>
    </w:p>
    <w:p>
      <w:pPr>
        <w:pStyle w:val="BodyText"/>
      </w:pPr>
      <w:r>
        <w:rPr>
          <w:bCs/>
          <w:b/>
        </w:rPr>
        <w:t xml:space="preserve">Lớp ba: Tác động kép lên thị phần và năng suất.</w:t>
      </w:r>
      <w:r>
        <w:t xml:space="preserve"> </w:t>
      </w:r>
      <w:r>
        <w:t xml:space="preserve">Đây là phát hiện quan trọng nhất đối với phương pháp luận của luận án. OECD (2026) ước lượng rằng khoảng 22% mức tăng thị phần toàn cầu của các doanh nghiệp tăng trưởng giai đoạn 2005-2023 có thể giải thích bằng trợ cấp đã nhận; với doanh nghiệp Trung Quốc, tỷ lệ này lên đến gần 60%. Tuy nhiên, các phân tích đi kèm cho thấy trợ cấp công nghiệp</w:t>
      </w:r>
      <w:r>
        <w:t xml:space="preserve"> </w:t>
      </w:r>
      <w:r>
        <w:rPr>
          <w:iCs/>
          <w:i/>
        </w:rPr>
        <w:t xml:space="preserve">không</w:t>
      </w:r>
      <w:r>
        <w:t xml:space="preserve"> </w:t>
      </w:r>
      <w:r>
        <w:t xml:space="preserve">dẫn đến tăng đáng kể</w:t>
      </w:r>
      <w:r>
        <w:t xml:space="preserve"> </w:t>
      </w:r>
      <w:r>
        <w:rPr>
          <w:iCs/>
          <w:i/>
        </w:rPr>
        <w:t xml:space="preserve">năng suất hay lợi nhuận</w:t>
      </w:r>
      <w:r>
        <w:t xml:space="preserve">; phần lớn mức tăng thị phần đến từ khả năng hạ giá để giành thị phần khỏi đối thủ cạnh tranh thay vì cải thiện hiệu quả sản xuất thực chất. Điều này có ý nghĩa kép cho khung CDCM của luận án.</w:t>
      </w:r>
      <w:r>
        <w:t xml:space="preserve"> </w:t>
      </w:r>
      <w:r>
        <w:rPr>
          <w:iCs/>
          <w:i/>
        </w:rPr>
        <w:t xml:space="preserve">Thứ nhất</w:t>
      </w:r>
      <w:r>
        <w:t xml:space="preserve">, việc luận án chọn năng suất lao động (chứ không phải thị phần hay doanh thu) làm biến phụ thuộc chính được hậu thuẫn mạnh: chỉ số năng suất ít bị bóp méo bởi trợ cấp xuyên quốc gia hơn các thước đo dựa trên doanh thu, do vậy các phát hiện về quan hệ I-P trong luận án phản ánh hiệu quả thực chất chứ không phải lợi thế trợ cấp tạm thời.</w:t>
      </w:r>
      <w:r>
        <w:t xml:space="preserve"> </w:t>
      </w:r>
      <w:r>
        <w:rPr>
          <w:iCs/>
          <w:i/>
        </w:rPr>
        <w:t xml:space="preserve">Thứ hai</w:t>
      </w:r>
      <w:r>
        <w:t xml:space="preserve">, sự không ngang bằng về sân chơi (level playing field) mà OECD (2026) nhấn mạnh củng cố luận điểm CDCM về vai trò thay thế của năng lực số khi thể chế yếu hoặc bị bóp méo: ở các bối cảnh nơi trợ cấp lấn át cạnh tranh dựa trên năng lực, năng lực số bề mặt (DAI Tier-1+2) chỉ còn là điều kiện cần để duy trì khả năng cạnh tranh chứ không tạo ra lợi thế khác biệt rõ rệt.</w:t>
      </w:r>
    </w:p>
    <w:p>
      <w:pPr>
        <w:pStyle w:val="BodyText"/>
      </w:pPr>
      <w:r>
        <w:rPr>
          <w:bCs/>
          <w:b/>
        </w:rPr>
        <w:t xml:space="preserve">Hàm ý cho CĐ2 và luận án.</w:t>
      </w:r>
      <w:r>
        <w:t xml:space="preserve"> </w:t>
      </w:r>
      <w:r>
        <w:t xml:space="preserve">Bối cảnh OECD MAGIC tháng 6 năm 2026 yêu cầu CĐ2 phải giải thích minh bạch hai điểm: (i) tại sao luận án dùng năng suất lao động làm biến phụ thuộc chính thay vì doanh thu hay thị phần; (ii) tại sao ICRV phân tách nhóm Advanced thành đổi mới sáng tạo dẫn dắt (Group I, Singapore/Korea) và tài nguyên dẫn dắt (Group II, GCC) thay vì gộp chung, bởi cấu hình trợ cấp ở hai nhóm này khác nhau căn bản. Khía cạnh</w:t>
      </w:r>
      <w:r>
        <w:t xml:space="preserve"> </w:t>
      </w:r>
      <w:r>
        <w:t xml:space="preserve">“</w:t>
      </w:r>
      <w:r>
        <w:t xml:space="preserve">doping in sports</w:t>
      </w:r>
      <w:r>
        <w:t xml:space="preserve">”</w:t>
      </w:r>
      <w:r>
        <w:t xml:space="preserve"> </w:t>
      </w:r>
      <w:r>
        <w:t xml:space="preserve">mà OECD (2026) ví von gợi ý rằng phần thị phần giành được nhờ trợ cấp không phản ánh năng lực thực chất; bằng chứng năng suất của luận án (β = +0,179 cho TCI tại Việt Nam; β = +0,172 cho DAI ở mẫu gộp đa quốc gia) do đó càng đáng tin cậy vì đo lường hiệu quả thực chất chứ không phải lợi thế trợ cấp.</w:t>
      </w:r>
    </w:p>
    <w:bookmarkEnd w:id="94"/>
    <w:bookmarkStart w:id="95" w:name="X0821715fb5217905db9b697101d1a64ef36b1c7"/>
    <w:p>
      <w:pPr>
        <w:pStyle w:val="Heading5"/>
      </w:pPr>
      <w:r>
        <w:t xml:space="preserve">2.3.3.4 Bối cảnh kinh tế vĩ mô toàn cầu tháng 6 năm 2026 (OECD Economic Outlook 2026)</w:t>
      </w:r>
    </w:p>
    <w:p>
      <w:pPr>
        <w:pStyle w:val="FirstParagraph"/>
      </w:pPr>
      <w:r>
        <w:t xml:space="preserve">Báo cáo</w:t>
      </w:r>
      <w:r>
        <w:t xml:space="preserve"> </w:t>
      </w:r>
      <w:r>
        <w:rPr>
          <w:iCs/>
          <w:i/>
        </w:rPr>
        <w:t xml:space="preserve">OECD Economic Outlook, Volume 2026 Issue 1: Under Pressure</w:t>
      </w:r>
      <w:r>
        <w:t xml:space="preserve"> </w:t>
      </w:r>
      <w:r>
        <w:t xml:space="preserve">(OECD, 2026) phát hành tháng 6 năm 2026 cung cấp bức tranh kinh tế vĩ mô gần nhất với mốc hoàn thiện luận án. Tiêu đề</w:t>
      </w:r>
      <w:r>
        <w:t xml:space="preserve"> </w:t>
      </w:r>
      <w:r>
        <w:t xml:space="preserve">“</w:t>
      </w:r>
      <w:r>
        <w:t xml:space="preserve">Dưới áp lực</w:t>
      </w:r>
      <w:r>
        <w:t xml:space="preserve">”</w:t>
      </w:r>
      <w:r>
        <w:t xml:space="preserve"> </w:t>
      </w:r>
      <w:r>
        <w:t xml:space="preserve">phản ánh ba nguồn áp lực đồng thời mà OECD nhận diện: thứ nhất là việc leo thang thuế quan và phân mảnh thương mại làm tăng chi phí giao dịch xuyên biên giới; thứ hai là sự phục hồi không đồng đều giữa các khu vực, châu Á và Thái Bình Dương tăng trưởng nhanh hơn châu Âu nhưng nội bộ khu vực này lại phân tán mạnh giữa các nền kinh tế tiên tiến số hóa (ICRV Nhóm I), các nền kinh tế trung gian chuyển đổi (Nhóm III-IV) và các quốc đảo nhỏ Thái Bình Dương dễ tổn thương (Nhóm VI); thứ ba là tình trạng bất định địa chính trị kéo dài, đẩy nhiều doanh nghiệp đa quốc gia vào tình huống phải thiết kế chiến lược</w:t>
      </w:r>
      <w:r>
        <w:t xml:space="preserve"> </w:t>
      </w:r>
      <w:r>
        <w:t xml:space="preserve">“</w:t>
      </w:r>
      <w:r>
        <w:t xml:space="preserve">hedging-by-regime</w:t>
      </w:r>
      <w:r>
        <w:t xml:space="preserve">”</w:t>
      </w:r>
      <w:r>
        <w:t xml:space="preserve"> </w:t>
      </w:r>
      <w:r>
        <w:t xml:space="preserve">(chọn dải thể chế ổn định để đặt trụ sở chiến lược). Verbeke (2026) gọi đây là vấn đề Political License to Operate (PLO), một tham số cắt ngang định hình toàn bộ kiến trúc quản trị doanh nghiệp đa quốc gia. Đối chiếu với khung phân tầng CIMT–ICRV–CDCM của luận án: bối cảnh</w:t>
      </w:r>
      <w:r>
        <w:t xml:space="preserve"> </w:t>
      </w:r>
      <w:r>
        <w:t xml:space="preserve">“</w:t>
      </w:r>
      <w:r>
        <w:t xml:space="preserve">Under Pressure</w:t>
      </w:r>
      <w:r>
        <w:t xml:space="preserve">”</w:t>
      </w:r>
      <w:r>
        <w:t xml:space="preserve"> </w:t>
      </w:r>
      <w:r>
        <w:t xml:space="preserve">của OECD chính là minh chứng vĩ mô cho cơ chế</w:t>
      </w:r>
      <w:r>
        <w:t xml:space="preserve"> </w:t>
      </w:r>
      <w:r>
        <w:rPr>
          <w:iCs/>
          <w:i/>
        </w:rPr>
        <w:t xml:space="preserve">institutional-void amplification</w:t>
      </w:r>
      <w:r>
        <w:t xml:space="preserve"> </w:t>
      </w:r>
      <w:r>
        <w:t xml:space="preserve">mà CIMT dự đoán, vì khi sức ép địa chính trị tăng, các kênh thay thế thể chế (digital substitution, public infrastructure) trở nên quan trọng hơn, đúng với observable signature CDCM mà bài báo capstone đa quốc gia (P7) ghi nhận qua tương tác DAI × ICRV (p = 0,049).</w:t>
      </w:r>
    </w:p>
    <w:p>
      <w:r>
        <w:pict>
          <v:rect style="width:0;height:1.5pt" o:hralign="center" o:hrstd="t" o:hr="t"/>
        </w:pict>
      </w:r>
    </w:p>
    <w:bookmarkEnd w:id="95"/>
    <w:bookmarkEnd w:id="96"/>
    <w:bookmarkEnd w:id="97"/>
    <w:bookmarkStart w:id="107" w:name="kết-luận-và-đề-xuất"/>
    <w:p>
      <w:pPr>
        <w:pStyle w:val="Heading3"/>
      </w:pPr>
      <w:r>
        <w:t xml:space="preserve">2.4 Kết luận và đề xuất</w:t>
      </w:r>
    </w:p>
    <w:bookmarkStart w:id="98" w:name="Xffcb779075ac33290da15d3166d835ab6e85124"/>
    <w:p>
      <w:pPr>
        <w:pStyle w:val="Heading4"/>
      </w:pPr>
      <w:r>
        <w:t xml:space="preserve">2.4.1 Khoảng trống nghiên cứu thực tiễn (năm khoảng trống)</w:t>
      </w:r>
    </w:p>
    <w:p>
      <w:pPr>
        <w:pStyle w:val="FirstParagraph"/>
      </w:pPr>
      <w:r>
        <w:t xml:space="preserve">Chuyên đề xác định năm khoảng trống thực tiễn (empirical gap) định hướng cho CĐ2 và luận án.</w:t>
      </w:r>
      <w:r>
        <w:t xml:space="preserve"> </w:t>
      </w:r>
      <w:r>
        <w:rPr>
          <w:bCs/>
          <w:b/>
        </w:rPr>
        <w:t xml:space="preserve">Một là</w:t>
      </w:r>
      <w:r>
        <w:t xml:space="preserve"> </w:t>
      </w:r>
      <w:r>
        <w:t xml:space="preserve">thiếu một tổng hợp mô tả đa chiều, cập nhật đến 2025, xuyên 47 nền kinh tế châu Á và Thái Bình Dương; các nghiên cứu hiện hành dừng ở phạm vi hẹp hơn và mốc thời gian sớm hơn (Wu et al., 2022 dừng ở 2020; Arte &amp; Larimo, 2022 dừng ở 2019).</w:t>
      </w:r>
      <w:r>
        <w:t xml:space="preserve"> </w:t>
      </w:r>
      <w:r>
        <w:rPr>
          <w:bCs/>
          <w:b/>
        </w:rPr>
        <w:t xml:space="preserve">Hai là</w:t>
      </w:r>
      <w:r>
        <w:t xml:space="preserve"> </w:t>
      </w:r>
      <w:r>
        <w:t xml:space="preserve">thiếu phân nhóm con (sub-grouping) trong nhóm Advanced, phân biệt đổi mới sáng tạo dẫn dắt so với tài nguyên dẫn dắt, vốn bị che giấu khi gộp chung.</w:t>
      </w:r>
      <w:r>
        <w:t xml:space="preserve"> </w:t>
      </w:r>
      <w:r>
        <w:rPr>
          <w:bCs/>
          <w:b/>
        </w:rPr>
        <w:t xml:space="preserve">Ba là</w:t>
      </w:r>
      <w:r>
        <w:t xml:space="preserve"> </w:t>
      </w:r>
      <w:r>
        <w:t xml:space="preserve">thiếu phân tách hai tầng đo lường số hóa (Tier-1 Digital Presence so với Tier-1+2 Digital Transformation), dẫn tới ngộ nhận về dấu của hệ số DAI.</w:t>
      </w:r>
      <w:r>
        <w:t xml:space="preserve"> </w:t>
      </w:r>
      <w:r>
        <w:rPr>
          <w:bCs/>
          <w:b/>
        </w:rPr>
        <w:t xml:space="preserve">Bốn là</w:t>
      </w:r>
      <w:r>
        <w:t xml:space="preserve"> </w:t>
      </w:r>
      <w:r>
        <w:t xml:space="preserve">thiếu khung lý giải đa tầng cho hiện tượng đảo dấu cross-regime của các yếu tố giải thích.</w:t>
      </w:r>
      <w:r>
        <w:t xml:space="preserve"> </w:t>
      </w:r>
      <w:r>
        <w:rPr>
          <w:bCs/>
          <w:b/>
        </w:rPr>
        <w:t xml:space="preserve">Năm là</w:t>
      </w:r>
      <w:r>
        <w:t xml:space="preserve"> </w:t>
      </w:r>
      <w:r>
        <w:t xml:space="preserve">thiếu bằng chứng firm-level cho chi phí buộc phải quốc tế hóa (forced internationalization penalty) ở các nền kinh tế đảo nhỏ biên.</w:t>
      </w:r>
    </w:p>
    <w:bookmarkEnd w:id="98"/>
    <w:bookmarkStart w:id="99" w:name="kết-luận-chính-tám-kết-luận"/>
    <w:p>
      <w:pPr>
        <w:pStyle w:val="Heading4"/>
      </w:pPr>
      <w:r>
        <w:t xml:space="preserve">2.4.2 Kết luận chính (tám kết luận)</w:t>
      </w:r>
    </w:p>
    <w:p>
      <w:pPr>
        <w:pStyle w:val="FirstParagraph"/>
      </w:pPr>
      <w:r>
        <w:t xml:space="preserve">Tám kết luận chính của chuyên đề:</w:t>
      </w:r>
      <w:r>
        <w:t xml:space="preserve"> </w:t>
      </w:r>
      <w:r>
        <w:rPr>
          <w:bCs/>
          <w:b/>
        </w:rPr>
        <w:t xml:space="preserve">(1)</w:t>
      </w:r>
      <w:r>
        <w:t xml:space="preserve"> </w:t>
      </w:r>
      <w:r>
        <w:t xml:space="preserve">hiệu quả doanh nghiệp châu Á phân tán lớn và không hội tụ, với phân tán năng suất nội bộ tăng đơn điệu khi chất lượng phân nhóm con thể chế suy giảm (Advanced 0,86 đến Frontier 1,36);</w:t>
      </w:r>
      <w:r>
        <w:t xml:space="preserve"> </w:t>
      </w:r>
      <w:r>
        <w:rPr>
          <w:bCs/>
          <w:b/>
        </w:rPr>
        <w:t xml:space="preserve">(2)</w:t>
      </w:r>
      <w:r>
        <w:t xml:space="preserve"> </w:t>
      </w:r>
      <w:r>
        <w:t xml:space="preserve">nhóm Advanced không đồng nhất, tách thành đổi mới sáng tạo dẫn dắt so với tài nguyên dẫn dắt (tỷ số phân tán ≈ 2,1 lần);</w:t>
      </w:r>
      <w:r>
        <w:t xml:space="preserve"> </w:t>
      </w:r>
      <w:r>
        <w:rPr>
          <w:bCs/>
          <w:b/>
        </w:rPr>
        <w:t xml:space="preserve">(3)</w:t>
      </w:r>
      <w:r>
        <w:t xml:space="preserve"> </w:t>
      </w:r>
      <w:r>
        <w:t xml:space="preserve">nhóm Emerging tách thành ba phân nhóm con với FSTS phân tầng 5,0%–7,2%–13,2%;</w:t>
      </w:r>
      <w:r>
        <w:t xml:space="preserve"> </w:t>
      </w:r>
      <w:r>
        <w:rPr>
          <w:bCs/>
          <w:b/>
        </w:rPr>
        <w:t xml:space="preserve">(4)</w:t>
      </w:r>
      <w:r>
        <w:t xml:space="preserve"> </w:t>
      </w:r>
      <w:r>
        <w:t xml:space="preserve">nhảy vọt số (digital leapfrog) diễn ra ở Frontier, Emerging và SIDS, nhưng hệ số âm DAI ở Advanced là biểu hiện giả tạo do bão hòa Tier-1;</w:t>
      </w:r>
      <w:r>
        <w:t xml:space="preserve"> </w:t>
      </w:r>
      <w:r>
        <w:rPr>
          <w:bCs/>
          <w:b/>
        </w:rPr>
        <w:t xml:space="preserve">(5)</w:t>
      </w:r>
      <w:r>
        <w:t xml:space="preserve"> </w:t>
      </w:r>
      <w:r>
        <w:t xml:space="preserve">quốc tế hóa là hiện tượng phân cực (trung vị FSTS = 0%);</w:t>
      </w:r>
      <w:r>
        <w:t xml:space="preserve"> </w:t>
      </w:r>
      <w:r>
        <w:rPr>
          <w:bCs/>
          <w:b/>
        </w:rPr>
        <w:t xml:space="preserve">(6)</w:t>
      </w:r>
      <w:r>
        <w:t xml:space="preserve"> </w:t>
      </w:r>
      <w:r>
        <w:t xml:space="preserve">quan hệ FSTS–năng suất phi tuyến dạng chữ U ngược với điểm uốn đặc thù quốc gia (Việt Nam ≈ 39–46%, Trung Quốc ≈ 47–49%, Singapore ≈ 82%);</w:t>
      </w:r>
      <w:r>
        <w:t xml:space="preserve"> </w:t>
      </w:r>
      <w:r>
        <w:rPr>
          <w:bCs/>
          <w:b/>
        </w:rPr>
        <w:t xml:space="preserve">(7)</w:t>
      </w:r>
      <w:r>
        <w:t xml:space="preserve"> </w:t>
      </w:r>
      <w:r>
        <w:t xml:space="preserve">SIDS Thái Bình Dương biên, đặc biệt Kiribati cực đoan, minh họa sự sụp đổ của đường cong U và chi phí buộc phải quốc tế hóa;</w:t>
      </w:r>
      <w:r>
        <w:t xml:space="preserve"> </w:t>
      </w:r>
      <w:r>
        <w:rPr>
          <w:bCs/>
          <w:b/>
        </w:rPr>
        <w:t xml:space="preserve">(8)</w:t>
      </w:r>
      <w:r>
        <w:t xml:space="preserve"> </w:t>
      </w:r>
      <w:r>
        <w:t xml:space="preserve">toàn bộ pattern được dựng trên pipeline tái lập được cho ba thế hệ schema WBES. Các kết luận này cùng định hướng cho</w:t>
      </w:r>
      <w:r>
        <w:t xml:space="preserve"> </w:t>
      </w:r>
      <w:r>
        <w:rPr>
          <w:bCs/>
          <w:b/>
        </w:rPr>
        <w:t xml:space="preserve">tám phân nhóm con</w:t>
      </w:r>
      <w:r>
        <w:t xml:space="preserve"> </w:t>
      </w:r>
      <w:r>
        <w:t xml:space="preserve">hiệu ứng cố định và sáu giả thuyết H1–H6 của CĐ2 (xem Mục 4.7 file 15).</w:t>
      </w:r>
    </w:p>
    <w:bookmarkEnd w:id="99"/>
    <w:bookmarkStart w:id="104" w:name="hàm-ý-cho-luận-án-và-chuyên-đề-2"/>
    <w:p>
      <w:pPr>
        <w:pStyle w:val="Heading4"/>
      </w:pPr>
      <w:r>
        <w:t xml:space="preserve">2.4.3 Hàm ý cho luận án và Chuyên đề 2</w:t>
      </w:r>
    </w:p>
    <w:bookmarkStart w:id="100" w:name="hàm-ý-lý-thuyết"/>
    <w:p>
      <w:pPr>
        <w:pStyle w:val="Heading5"/>
      </w:pPr>
      <w:r>
        <w:t xml:space="preserve">2.4.3.1 Hàm ý lý thuyết</w:t>
      </w:r>
    </w:p>
    <w:p>
      <w:pPr>
        <w:pStyle w:val="FirstParagraph"/>
      </w:pPr>
      <w:r>
        <w:t xml:space="preserve">Chuyên đề cung cấp năm tuyến bằng chứng lý thuyết cho luận án, được tổ chức quanh khung tích hợp ba lớp</w:t>
      </w:r>
      <w:r>
        <w:t xml:space="preserve"> </w:t>
      </w:r>
      <w:r>
        <w:rPr>
          <w:bCs/>
          <w:b/>
        </w:rPr>
        <w:t xml:space="preserve">CIMT–ICRV–CDCM</w:t>
      </w:r>
      <w:r>
        <w:t xml:space="preserve"> </w:t>
      </w:r>
      <w:r>
        <w:t xml:space="preserve">mà luận án phát triển ở Chương 2 §2.5.</w:t>
      </w:r>
      <w:r>
        <w:t xml:space="preserve"> </w:t>
      </w:r>
      <w:r>
        <w:rPr>
          <w:bCs/>
          <w:b/>
        </w:rPr>
        <w:t xml:space="preserve">Một là</w:t>
      </w:r>
      <w:r>
        <w:t xml:space="preserve"> </w:t>
      </w:r>
      <w:r>
        <w:t xml:space="preserve">bằng chứng tồn tại (existence evidence) cho quan hệ chữ U ngược FSTS–năng suất (H1) qua các điểm uốn đơn quốc gia, mỗi quốc gia là một observable signature của cơ chế CIMT ở một vị trí cụ thể trên dải ICRV.</w:t>
      </w:r>
      <w:r>
        <w:t xml:space="preserve"> </w:t>
      </w:r>
      <w:r>
        <w:rPr>
          <w:bCs/>
          <w:b/>
        </w:rPr>
        <w:t xml:space="preserve">Hai là</w:t>
      </w:r>
      <w:r>
        <w:t xml:space="preserve"> </w:t>
      </w:r>
      <w:r>
        <w:t xml:space="preserve">phát hiện phân nhóm con Advanced (innovation- so với resource-driven) như một dạng biến thể chế kiểu Varieties of Capitalism (Hall &amp; Soskice, 2001), gợi ý tinh chỉnh cho taxonomy ICRV ở lớp thứ hai.</w:t>
      </w:r>
      <w:r>
        <w:t xml:space="preserve"> </w:t>
      </w:r>
      <w:r>
        <w:rPr>
          <w:bCs/>
          <w:b/>
        </w:rPr>
        <w:t xml:space="preserve">Ba là</w:t>
      </w:r>
      <w:r>
        <w:t xml:space="preserve"> </w:t>
      </w:r>
      <w:r>
        <w:t xml:space="preserve">khung Năng lực số phụ thuộc bối cảnh (CDCM) hợp nhất phát hiện Việt Nam và Singapore, đặt trên khung 4 tầng của Verhoef et al. (2021); CDCM được CĐ2 và Chương 2 luận án định vị là lớp</w:t>
      </w:r>
      <w:r>
        <w:t xml:space="preserve"> </w:t>
      </w:r>
      <w:r>
        <w:rPr>
          <w:iCs/>
          <w:i/>
        </w:rPr>
        <w:t xml:space="preserve">signature</w:t>
      </w:r>
      <w:r>
        <w:t xml:space="preserve"> </w:t>
      </w:r>
      <w:r>
        <w:t xml:space="preserve">của CIMT, tức cơ chế institutional-void amplification dưới điều kiện số hóa.</w:t>
      </w:r>
      <w:r>
        <w:t xml:space="preserve"> </w:t>
      </w:r>
      <w:r>
        <w:rPr>
          <w:bCs/>
          <w:b/>
        </w:rPr>
        <w:t xml:space="preserve">Bốn là</w:t>
      </w:r>
      <w:r>
        <w:t xml:space="preserve"> </w:t>
      </w:r>
      <w:r>
        <w:t xml:space="preserve">lý giải hiện tượng đảo dấu cross-regime qua khoảng cách de jure–de facto (Xu, 2024) và chi phí giao dịch thể chế (Coase, 1937; Williamson, 1985), bằng chứng cho cơ chế LoF attenuation (kênh thứ hai của CIMT).</w:t>
      </w:r>
      <w:r>
        <w:t xml:space="preserve"> </w:t>
      </w:r>
      <w:r>
        <w:rPr>
          <w:bCs/>
          <w:b/>
        </w:rPr>
        <w:t xml:space="preserve">Năm là</w:t>
      </w:r>
      <w:r>
        <w:t xml:space="preserve"> </w:t>
      </w:r>
      <w:r>
        <w:t xml:space="preserve">thiết lập điều kiện biên của lý thuyết Uppsala (Johanson &amp; Vahlne, 1977) qua trường hợp SIDS biên, chính là</w:t>
      </w:r>
      <w:r>
        <w:t xml:space="preserve"> </w:t>
      </w:r>
      <w:r>
        <w:rPr>
          <w:iCs/>
          <w:i/>
        </w:rPr>
        <w:t xml:space="preserve">trường hợp cực đoan của CIMT mismatch</w:t>
      </w:r>
      <w:r>
        <w:t xml:space="preserve"> </w:t>
      </w:r>
      <w:r>
        <w:t xml:space="preserve">khi cả ba kênh đồng pha cực đại. Chuyên đề cảnh báo nguy cơ</w:t>
      </w:r>
      <w:r>
        <w:t xml:space="preserve"> </w:t>
      </w:r>
      <w:r>
        <w:t xml:space="preserve">“</w:t>
      </w:r>
      <w:r>
        <w:t xml:space="preserve">digital theatre</w:t>
      </w:r>
      <w:r>
        <w:t xml:space="preserve">”</w:t>
      </w:r>
      <w:r>
        <w:t xml:space="preserve"> </w:t>
      </w:r>
      <w:r>
        <w:t xml:space="preserve">(Verhoef et al., 2021), tức số hóa hình thức không chuyển thành năng suất, và lưu ý mức độ sẵn sàng AI không đồng đều theo Chỉ số Sẵn sàng AI (AI Preparedness Index) giữa các phân nhóm con.</w:t>
      </w:r>
    </w:p>
    <w:bookmarkEnd w:id="100"/>
    <w:bookmarkStart w:id="101" w:name="hàm-ý-phương-pháp-luận"/>
    <w:p>
      <w:pPr>
        <w:pStyle w:val="Heading5"/>
      </w:pPr>
      <w:r>
        <w:t xml:space="preserve">2.4.3.2 Hàm ý phương pháp luận</w:t>
      </w:r>
    </w:p>
    <w:p>
      <w:pPr>
        <w:pStyle w:val="FirstParagraph"/>
      </w:pPr>
      <w:r>
        <w:t xml:space="preserve">Năm hàm ý phương pháp luận cho CĐ2:</w:t>
      </w:r>
      <w:r>
        <w:t xml:space="preserve"> </w:t>
      </w:r>
      <w:r>
        <w:rPr>
          <w:bCs/>
          <w:b/>
        </w:rPr>
        <w:t xml:space="preserve">(1)</w:t>
      </w:r>
      <w:r>
        <w:t xml:space="preserve"> </w:t>
      </w:r>
      <w:r>
        <w:t xml:space="preserve">dùng hiệu ứng cố định theo</w:t>
      </w:r>
      <w:r>
        <w:t xml:space="preserve"> </w:t>
      </w:r>
      <w:r>
        <w:rPr>
          <w:bCs/>
          <w:b/>
        </w:rPr>
        <w:t xml:space="preserve">tám phân nhóm con</w:t>
      </w:r>
      <w:r>
        <w:t xml:space="preserve"> </w:t>
      </w:r>
      <w:r>
        <w:t xml:space="preserve">(liệt kê ở Mục 4.7(b) file 15) thay cho một hệ số chung, để nắm dị biệt cross-regime;</w:t>
      </w:r>
      <w:r>
        <w:t xml:space="preserve"> </w:t>
      </w:r>
      <w:r>
        <w:rPr>
          <w:bCs/>
          <w:b/>
        </w:rPr>
        <w:t xml:space="preserve">(2)</w:t>
      </w:r>
      <w:r>
        <w:t xml:space="preserve"> </w:t>
      </w:r>
      <w:r>
        <w:t xml:space="preserve">áp dụng lựa chọn hai giai đoạn (2-stage selection) vì quốc tế hóa phân cực mạnh (trung vị FSTS = 0%);</w:t>
      </w:r>
      <w:r>
        <w:t xml:space="preserve"> </w:t>
      </w:r>
      <w:r>
        <w:rPr>
          <w:bCs/>
          <w:b/>
        </w:rPr>
        <w:t xml:space="preserve">(3)</w:t>
      </w:r>
      <w:r>
        <w:t xml:space="preserve"> </w:t>
      </w:r>
      <w:r>
        <w:t xml:space="preserve">tách hai đặc tả mô hình (Spec 1 [Tier-1, full pool] và Spec 2 [Tier-1+2, BREADY 2018+]) để phân biệt biểu hiện giả tạo bão hòa khỏi hiệu ứng thực;</w:t>
      </w:r>
      <w:r>
        <w:t xml:space="preserve"> </w:t>
      </w:r>
      <w:r>
        <w:rPr>
          <w:bCs/>
          <w:b/>
        </w:rPr>
        <w:t xml:space="preserve">(4)</w:t>
      </w:r>
      <w:r>
        <w:t xml:space="preserve"> </w:t>
      </w:r>
      <w:r>
        <w:t xml:space="preserve">triển khai hệ thống cô lập</w:t>
      </w:r>
      <w:r>
        <w:t xml:space="preserve"> </w:t>
      </w:r>
      <w:r>
        <w:t xml:space="preserve">“</w:t>
      </w:r>
      <w:r>
        <w:t xml:space="preserve">triple-defense</w:t>
      </w:r>
      <w:r>
        <w:t xml:space="preserve">”</w:t>
      </w:r>
      <w:r>
        <w:t xml:space="preserve"> </w:t>
      </w:r>
      <w:r>
        <w:t xml:space="preserve">(biến giả Post_BREADY_2024, mô hình neo, panel hậu đại dịch độc lập, Mục 4.11 file 15) để chống đứt gãy schema 2025;</w:t>
      </w:r>
      <w:r>
        <w:t xml:space="preserve"> </w:t>
      </w:r>
      <w:r>
        <w:rPr>
          <w:bCs/>
          <w:b/>
        </w:rPr>
        <w:t xml:space="preserve">(5)</w:t>
      </w:r>
      <w:r>
        <w:t xml:space="preserve"> </w:t>
      </w:r>
      <w:r>
        <w:t xml:space="preserve">đưa khung industry FE 9 ngành cùng các kiểm định mẫu con (Mục 7.3.4) vào thiết kế nhận diện. Bộ tám kiểm định độ vững cốt lõi ở Mục 7.3.4 vận hành hóa các hàm ý này.</w:t>
      </w:r>
    </w:p>
    <w:bookmarkEnd w:id="101"/>
    <w:bookmarkStart w:id="102" w:name="X72d3008b4a85d47be9732498c7193c9047a9dbc"/>
    <w:p>
      <w:pPr>
        <w:pStyle w:val="Heading5"/>
      </w:pPr>
      <w:r>
        <w:t xml:space="preserve">2.4.3.3 Hàm ý chính sách cho doanh nghiệp Việt Nam và khu vực (chín hàm ý)</w:t>
      </w:r>
    </w:p>
    <w:p>
      <w:pPr>
        <w:pStyle w:val="BlockText"/>
      </w:pPr>
      <w:r>
        <w:t xml:space="preserve">Chín hàm ý chính sách gồm: (1)–(6) sáu hàm ý chính sách cùng bốn đề xuất tái định vị chuỗi giá trị (GVC) cho Việt Nam; (7) hợp tác di chuyển lao động Thái Bình Dương; (8) chính sách số hóa châu Á cho SME; (9) chiến lược phòng ngừa (hedging) bốn nguyên tắc. Dưới đây trình bày các hàm ý (7)–(9).</w:t>
      </w:r>
    </w:p>
    <w:p>
      <w:pPr>
        <w:pStyle w:val="FirstParagraph"/>
      </w:pPr>
      <w:r>
        <w:rPr>
          <w:bCs/>
          <w:b/>
        </w:rPr>
        <w:t xml:space="preserve">(7) Migration labor partnership Pacific cho Việt Nam: bài học từ PLMS Australia + RSE New Zealand</w:t>
      </w:r>
    </w:p>
    <w:p>
      <w:pPr>
        <w:pStyle w:val="BlockText"/>
      </w:pPr>
      <w:r>
        <w:rPr>
          <w:bCs/>
          <w:b/>
        </w:rPr>
        <w:t xml:space="preserve">Bằng chứng nền tảng</w:t>
      </w:r>
      <w:r>
        <w:t xml:space="preserve">: Mục 5.7.5 file 16 (PICs macro context); Bertram (2006) MIRAB model.</w:t>
      </w:r>
    </w:p>
    <w:p>
      <w:pPr>
        <w:pStyle w:val="FirstParagraph"/>
      </w:pPr>
      <w:r>
        <w:t xml:space="preserve">Bốn đề xuất cụ thể cho doanh nghiệp + nhà hoạch định chính sách Việt Nam:</w:t>
      </w:r>
    </w:p>
    <w:p>
      <w:pPr>
        <w:numPr>
          <w:ilvl w:val="0"/>
          <w:numId w:val="1019"/>
        </w:numPr>
      </w:pPr>
      <w:r>
        <w:rPr>
          <w:bCs/>
          <w:b/>
        </w:rPr>
        <w:t xml:space="preserve">Học mô hình PLMS</w:t>
      </w:r>
      <w:r>
        <w:t xml:space="preserve"> </w:t>
      </w:r>
      <w:r>
        <w:rPr>
          <w:iCs/>
          <w:i/>
        </w:rPr>
        <w:t xml:space="preserve">(Australia Pacific Labour Mobility Scheme)</w:t>
      </w:r>
      <w:r>
        <w:t xml:space="preserve">: Australia chương trình PLMS gần 30.000 lao động PICs/năm, làm việc 1-3 năm trong nông nghiệp, chế biến thực phẩm, du lịch. Việt Nam có thể ký song phương MoU với Australia để chương trình tương tự</w:t>
      </w:r>
      <w:r>
        <w:t xml:space="preserve"> </w:t>
      </w:r>
      <w:r>
        <w:rPr>
          <w:bCs/>
          <w:b/>
        </w:rPr>
        <w:t xml:space="preserve">Vietnamese Skilled Worker Mobility Scheme</w:t>
      </w:r>
      <w:r>
        <w:t xml:space="preserve">, tập trung vào nông nghiệp công nghệ cao + chế biến + healthcare aged-care (Australia có nhu cầu cao, dân số già hóa).</w:t>
      </w:r>
    </w:p>
    <w:p>
      <w:pPr>
        <w:numPr>
          <w:ilvl w:val="0"/>
          <w:numId w:val="1019"/>
        </w:numPr>
      </w:pPr>
      <w:r>
        <w:rPr>
          <w:bCs/>
          <w:b/>
        </w:rPr>
        <w:t xml:space="preserve">Học mô hình RSE</w:t>
      </w:r>
      <w:r>
        <w:t xml:space="preserve"> </w:t>
      </w:r>
      <w:r>
        <w:rPr>
          <w:iCs/>
          <w:i/>
        </w:rPr>
        <w:t xml:space="preserve">(New Zealand Recognised Seasonal Employer)</w:t>
      </w:r>
      <w:r>
        <w:t xml:space="preserve">: New Zealand RSE chỉ áp dụng cho viticulture (vườn nho) + horticulture (vườn cây ăn quả) + fishing, với work permits 7 tháng/năm. Việt Nam hợp tác với NZ để mở</w:t>
      </w:r>
      <w:r>
        <w:t xml:space="preserve"> </w:t>
      </w:r>
      <w:r>
        <w:rPr>
          <w:bCs/>
          <w:b/>
        </w:rPr>
        <w:t xml:space="preserve">Aquaculture + Coffee + Cashew Skills Exchange</w:t>
      </w:r>
      <w:r>
        <w:t xml:space="preserve">, leveraging chuyên môn Việt Nam trong các ngành này.</w:t>
      </w:r>
    </w:p>
    <w:p>
      <w:pPr>
        <w:numPr>
          <w:ilvl w:val="0"/>
          <w:numId w:val="1019"/>
        </w:numPr>
      </w:pPr>
      <w:r>
        <w:rPr>
          <w:bCs/>
          <w:b/>
        </w:rPr>
        <w:t xml:space="preserve">Cơ chế remittance corridor digital</w:t>
      </w:r>
      <w:r>
        <w:t xml:space="preserve">: Theo ghi chú phân tích nội bộ của tác giả (2026), remittances từ RSE của Vanuatu chiếm 15-20% GDP, chứng minh tính hiệu quả của mô hình</w:t>
      </w:r>
      <w:r>
        <w:t xml:space="preserve"> </w:t>
      </w:r>
      <w:r>
        <w:t xml:space="preserve">“</w:t>
      </w:r>
      <w:r>
        <w:t xml:space="preserve">labor mobility cộng digital remittance</w:t>
      </w:r>
      <w:r>
        <w:t xml:space="preserve">”</w:t>
      </w:r>
      <w:r>
        <w:t xml:space="preserve">. Việt Nam có thể hợp tác với Wise, Western Union hoặc MoMo để</w:t>
      </w:r>
      <w:r>
        <w:t xml:space="preserve"> </w:t>
      </w:r>
      <w:r>
        <w:rPr>
          <w:bCs/>
          <w:b/>
        </w:rPr>
        <w:t xml:space="preserve">giảm phí remittance từ khoảng 7% xuống dưới 3%</w:t>
      </w:r>
      <w:r>
        <w:t xml:space="preserve"> </w:t>
      </w:r>
      <w:r>
        <w:t xml:space="preserve">cho lao động Việt ở Australia và New Zealand, qua đó tiết kiệm hàng trăm triệu USD mỗi năm. Điều này liên kết với FDI commitment $2,4B có fintech focus ở Mục 5.3 (a).</w:t>
      </w:r>
    </w:p>
    <w:p>
      <w:pPr>
        <w:numPr>
          <w:ilvl w:val="0"/>
          <w:numId w:val="1019"/>
        </w:numPr>
      </w:pPr>
      <w:r>
        <w:rPr>
          <w:bCs/>
          <w:b/>
        </w:rPr>
        <w:t xml:space="preserve">Skills upgrading approach để tránh brain drain</w:t>
      </w:r>
      <w:r>
        <w:t xml:space="preserve">: Migration labor có nguy cơ brain drain nếu chỉ low-skilled. Việt Nam cần đầu tư technical education + ngoại ngữ trước khi gửi đi, theo mô hình Korea Employment Permit System (EPS), tập trung vào ngành cao kỹ + đảm bảo lao động return có vốn + kỹ năng để khởi nghiệp tại Việt Nam (return migration channel).</w:t>
      </w:r>
    </w:p>
    <w:p>
      <w:pPr>
        <w:pStyle w:val="FirstParagraph"/>
      </w:pPr>
      <w:r>
        <w:rPr>
          <w:bCs/>
          <w:b/>
        </w:rPr>
        <w:t xml:space="preserve">(8) Chính sách số hóa Asia cho SME Việt Nam: bài học từ Singapore/Korea/Japan/Trung Quốc</w:t>
      </w:r>
    </w:p>
    <w:p>
      <w:pPr>
        <w:pStyle w:val="BlockText"/>
      </w:pPr>
      <w:r>
        <w:rPr>
          <w:bCs/>
          <w:b/>
        </w:rPr>
        <w:t xml:space="preserve">Bằng chứng nền tảng</w:t>
      </w:r>
      <w:r>
        <w:t xml:space="preserve">: Mục 6.2 về Innovation U-curve digital; Bảng 4.4 file 15 (Website Việt Nam 47% thấp hơn EAP average 58,9%); Mục 5.4 về concentration risk của Trung Quốc theo Wang/Huang/Hong (2024).</w:t>
      </w:r>
    </w:p>
    <w:p>
      <w:pPr>
        <w:pStyle w:val="FirstParagraph"/>
      </w:pPr>
      <w:r>
        <w:t xml:space="preserve">Bốn lộ trình số hóa cho SME Việt Nam tham khảo:</w:t>
      </w:r>
    </w:p>
    <w:p>
      <w:pPr>
        <w:numPr>
          <w:ilvl w:val="0"/>
          <w:numId w:val="1020"/>
        </w:numPr>
      </w:pPr>
      <w:r>
        <w:rPr>
          <w:bCs/>
          <w:b/>
        </w:rPr>
        <w:t xml:space="preserve">Mô hình Singapore và Korea: AI integration full-stack</w:t>
      </w:r>
      <w:r>
        <w:t xml:space="preserve"> </w:t>
      </w:r>
      <w:r>
        <w:rPr>
          <w:iCs/>
          <w:i/>
        </w:rPr>
        <w:t xml:space="preserve">(Tier-3 transformation)</w:t>
      </w:r>
      <w:r>
        <w:t xml:space="preserve">: Singapore SmartNation initiative cùng Korea Digital New Deal đã đạt mức tích hợp AI vào toàn bộ chuỗi value chain, lần lượt từ marketing automation sang CRM intelligence, supply chain optimization rồi financial forecasting. SME Việt Nam còn cách giai đoạn này khá xa, nên</w:t>
      </w:r>
      <w:r>
        <w:t xml:space="preserve"> </w:t>
      </w:r>
      <w:r>
        <w:rPr>
          <w:bCs/>
          <w:b/>
        </w:rPr>
        <w:t xml:space="preserve">không nên copy nguyên mẫu</w:t>
      </w:r>
      <w:r>
        <w:t xml:space="preserve"> </w:t>
      </w:r>
      <w:r>
        <w:t xml:space="preserve">mà nên target</w:t>
      </w:r>
      <w:r>
        <w:t xml:space="preserve"> </w:t>
      </w:r>
      <w:r>
        <w:rPr>
          <w:bCs/>
          <w:b/>
        </w:rPr>
        <w:t xml:space="preserve">Tier-2 first</w:t>
      </w:r>
      <w:r>
        <w:t xml:space="preserve"> </w:t>
      </w:r>
      <w:r>
        <w:t xml:space="preserve">(xem điểm (d) dưới đây).</w:t>
      </w:r>
    </w:p>
    <w:p>
      <w:pPr>
        <w:numPr>
          <w:ilvl w:val="0"/>
          <w:numId w:val="1020"/>
        </w:numPr>
      </w:pPr>
      <w:r>
        <w:rPr>
          <w:bCs/>
          <w:b/>
        </w:rPr>
        <w:t xml:space="preserve">Mô hình Japan: 60% DN dùng AI back-office</w:t>
      </w:r>
      <w:r>
        <w:t xml:space="preserve"> </w:t>
      </w:r>
      <w:r>
        <w:rPr>
          <w:iCs/>
          <w:i/>
        </w:rPr>
        <w:t xml:space="preserve">(Tier-2 productive transformation)</w:t>
      </w:r>
      <w:r>
        <w:t xml:space="preserve">: Japan đã đạt 60% doanh nghiệp dùng AI cho back-office tasks (accounting automation, HR scheduling, customer service chatbots). Đây là</w:t>
      </w:r>
      <w:r>
        <w:t xml:space="preserve"> </w:t>
      </w:r>
      <w:r>
        <w:rPr>
          <w:bCs/>
          <w:b/>
        </w:rPr>
        <w:t xml:space="preserve">realistic target cho SME Việt Nam 2026-2030</w:t>
      </w:r>
      <w:r>
        <w:t xml:space="preserve">: không cần AI cutting-edge, chỉ cần AI applied cho efficiency gains. Khuyến nghị: chính phủ tài trợ</w:t>
      </w:r>
      <w:r>
        <w:t xml:space="preserve"> </w:t>
      </w:r>
      <w:r>
        <w:rPr>
          <w:bCs/>
          <w:b/>
        </w:rPr>
        <w:t xml:space="preserve">AI Adoption Voucher Program</w:t>
      </w:r>
      <w:r>
        <w:t xml:space="preserve"> </w:t>
      </w:r>
      <w:r>
        <w:t xml:space="preserve">cho SME (~50 triệu VND/firm) để mua off-the-shelf AI tools (Microsoft Copilot, Notion AI, Make.com).</w:t>
      </w:r>
    </w:p>
    <w:p>
      <w:pPr>
        <w:numPr>
          <w:ilvl w:val="0"/>
          <w:numId w:val="1020"/>
        </w:numPr>
      </w:pPr>
      <w:r>
        <w:rPr>
          <w:bCs/>
          <w:b/>
        </w:rPr>
        <w:t xml:space="preserve">Mô hình Trung Quốc: sản xuất thông minh kèm cảnh báo rủi ro tập trung (smart manufacturing và concentration risk warning)</w:t>
      </w:r>
      <w:r>
        <w:t xml:space="preserve"> </w:t>
      </w:r>
      <w:r>
        <w:rPr>
          <w:iCs/>
          <w:i/>
        </w:rPr>
        <w:t xml:space="preserve">(Tier-2/3 hybrid kèm cảnh báo)</w:t>
      </w:r>
      <w:r>
        <w:t xml:space="preserve">: Trung Quốc dẫn đầu châu Á về</w:t>
      </w:r>
      <w:r>
        <w:t xml:space="preserve"> </w:t>
      </w:r>
      <w:r>
        <w:rPr>
          <w:bCs/>
          <w:b/>
        </w:rPr>
        <w:t xml:space="preserve">sản xuất thông minh (smart manufacturing)</w:t>
      </w:r>
      <w:r>
        <w:t xml:space="preserve"> </w:t>
      </w:r>
      <w:r>
        <w:t xml:space="preserve">với chuẩn Công nghiệp 4.0 (Industry 4.0 standards), điển hình là Foxconn Thâm Quyến, BYD và Geely. Tuy nhiên, việc</w:t>
      </w:r>
      <w:r>
        <w:t xml:space="preserve"> </w:t>
      </w:r>
      <w:r>
        <w:rPr>
          <w:bCs/>
          <w:b/>
        </w:rPr>
        <w:t xml:space="preserve">80% mô hình rủi ro ngân hàng (bank risk models) của PRC phụ thuộc vào nhà cung cấp công nghệ lớn (dominant tech providers)</w:t>
      </w:r>
      <w:r>
        <w:t xml:space="preserve"> </w:t>
      </w:r>
      <w:r>
        <w:t xml:space="preserve">(Wang/Huang/Hong, 2024,</w:t>
      </w:r>
      <w:r>
        <w:t xml:space="preserve"> </w:t>
      </w:r>
      <w:r>
        <w:rPr>
          <w:iCs/>
          <w:i/>
        </w:rPr>
        <w:t xml:space="preserve">IRFA</w:t>
      </w:r>
      <w:r>
        <w:t xml:space="preserve">) tạo nên</w:t>
      </w:r>
      <w:r>
        <w:t xml:space="preserve"> </w:t>
      </w:r>
      <w:r>
        <w:rPr>
          <w:bCs/>
          <w:b/>
        </w:rPr>
        <w:t xml:space="preserve">rủi ro tập trung (concentration risk)</w:t>
      </w:r>
      <w:r>
        <w:t xml:space="preserve"> </w:t>
      </w:r>
      <w:r>
        <w:t xml:space="preserve">cao. Việt Nam cần học mặt tích cực là lộ trình sản xuất thông minh, nhưng phải</w:t>
      </w:r>
      <w:r>
        <w:t xml:space="preserve"> </w:t>
      </w:r>
      <w:r>
        <w:rPr>
          <w:bCs/>
          <w:b/>
        </w:rPr>
        <w:t xml:space="preserve">TRÁNH lệ thuộc cứng (lock-in)</w:t>
      </w:r>
      <w:r>
        <w:t xml:space="preserve"> </w:t>
      </w:r>
      <w:r>
        <w:t xml:space="preserve">vào một nhà cung cấp ngoại đơn lẻ, đồng thời đẩy mạnh</w:t>
      </w:r>
      <w:r>
        <w:t xml:space="preserve"> </w:t>
      </w:r>
      <w:r>
        <w:rPr>
          <w:bCs/>
          <w:b/>
        </w:rPr>
        <w:t xml:space="preserve">tiêu chuẩn mở (open standards)</w:t>
      </w:r>
      <w:r>
        <w:t xml:space="preserve"> </w:t>
      </w:r>
      <w:r>
        <w:t xml:space="preserve">và</w:t>
      </w:r>
      <w:r>
        <w:t xml:space="preserve"> </w:t>
      </w:r>
      <w:r>
        <w:rPr>
          <w:bCs/>
          <w:b/>
        </w:rPr>
        <w:t xml:space="preserve">mua sắm đa nhà cung cấp (multi-vendor procurement)</w:t>
      </w:r>
      <w:r>
        <w:t xml:space="preserve"> </w:t>
      </w:r>
      <w:r>
        <w:t xml:space="preserve">cho FDI sản xuất chế biến.</w:t>
      </w:r>
    </w:p>
    <w:p>
      <w:pPr>
        <w:numPr>
          <w:ilvl w:val="0"/>
          <w:numId w:val="1020"/>
        </w:numPr>
      </w:pPr>
      <w:r>
        <w:rPr>
          <w:bCs/>
          <w:b/>
        </w:rPr>
        <w:t xml:space="preserve">Mô hình ưu tiên cho SME Việt Nam: digital payment + social commerce</w:t>
      </w:r>
      <w:r>
        <w:t xml:space="preserve"> </w:t>
      </w:r>
      <w:r>
        <w:rPr>
          <w:iCs/>
          <w:i/>
        </w:rPr>
        <w:t xml:space="preserve">(Tier-1.5 Vietnamese-specific)</w:t>
      </w:r>
      <w:r>
        <w:t xml:space="preserve">: Việt Nam có lợi thế đặc biệt: VietQR ecosystem + mobile payment (MoMo, ZaloPay, ViettelPay) + social commerce qua TikTok/Facebook (&gt;200 triệu user trong khu vực). SME Việt Nam nên ưu tiên 4 layer:</w:t>
      </w:r>
    </w:p>
    <w:p>
      <w:pPr>
        <w:numPr>
          <w:ilvl w:val="0"/>
          <w:numId w:val="1021"/>
        </w:numPr>
        <w:pStyle w:val="Compact"/>
      </w:pPr>
      <w:r>
        <w:rPr>
          <w:bCs/>
          <w:b/>
        </w:rPr>
        <w:t xml:space="preserve">Digital payment integration</w:t>
      </w:r>
      <w:r>
        <w:t xml:space="preserve">: accept mọi loại payment qua VietQR (đã miễn phí 100%, không như credit card 2-3%)</w:t>
      </w:r>
    </w:p>
    <w:p>
      <w:pPr>
        <w:numPr>
          <w:ilvl w:val="0"/>
          <w:numId w:val="1021"/>
        </w:numPr>
        <w:pStyle w:val="Compact"/>
      </w:pPr>
      <w:r>
        <w:rPr>
          <w:bCs/>
          <w:b/>
        </w:rPr>
        <w:t xml:space="preserve">Social commerce optimization</w:t>
      </w:r>
      <w:r>
        <w:t xml:space="preserve">: Facebook Live + TikTok Shop là kênh bán hàng chính cho retail SME</w:t>
      </w:r>
    </w:p>
    <w:p>
      <w:pPr>
        <w:numPr>
          <w:ilvl w:val="0"/>
          <w:numId w:val="1021"/>
        </w:numPr>
        <w:pStyle w:val="Compact"/>
      </w:pPr>
      <w:r>
        <w:rPr>
          <w:bCs/>
          <w:b/>
        </w:rPr>
        <w:t xml:space="preserve">Cross-border e-commerce</w:t>
      </w:r>
      <w:r>
        <w:t xml:space="preserve">: Shopee Asia Pacific + Amazon Vietnam Sellers Program để xuất khẩu micro</w:t>
      </w:r>
    </w:p>
    <w:p>
      <w:pPr>
        <w:numPr>
          <w:ilvl w:val="0"/>
          <w:numId w:val="1021"/>
        </w:numPr>
        <w:pStyle w:val="Compact"/>
      </w:pPr>
      <w:r>
        <w:rPr>
          <w:bCs/>
          <w:b/>
        </w:rPr>
        <w:t xml:space="preserve">Cloud + basic AI tools</w:t>
      </w:r>
      <w:r>
        <w:t xml:space="preserve">: Google Workspace + Microsoft 365 + Make.com automation</w:t>
      </w:r>
      <w:r>
        <w:t xml:space="preserve"> </w:t>
      </w:r>
      <w:r>
        <w:t xml:space="preserve">Tựu trung, đây là mức</w:t>
      </w:r>
      <w:r>
        <w:t xml:space="preserve"> </w:t>
      </w:r>
      <w:r>
        <w:rPr>
          <w:bCs/>
          <w:b/>
        </w:rPr>
        <w:t xml:space="preserve">Tier-1.5</w:t>
      </w:r>
      <w:r>
        <w:t xml:space="preserve">, vượt website thụ động (Tier-1) nhưng chưa đến full-stack AI (Tier-2/3), phù hợp với pattern thực tế của Việt Nam và mức R&amp;D 6,1%.</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Digital_Tier_Vietnam</w:t>
      </w:r>
      <w:r>
        <w:t xml:space="preserve"> </w:t>
      </w:r>
      <w:r>
        <w:t xml:space="preserve">với 4 cấp (Tier-1 website, Tier-1.5 digital payment cộng social commerce, Tier-2 productive AI, Tier-3 full-stack AI) nhằm kiểm tra xem mỗi tier có productivity payoff khác nhau hay không. Kỳ vọng đặt ra là Tier-1 không tăng thêm productivity vì đã saturated; Tier-1.5 tăng productivity ở các nền kinh tế do SME dẫn dắt (VN, IDN, PHL); Tier-2 tăng productivity ở Manufacturing; còn Tier-3 tăng productivity ở ICT và Finance.</w:t>
      </w:r>
    </w:p>
    <w:p>
      <w:pPr>
        <w:pStyle w:val="BodyText"/>
      </w:pPr>
      <w:r>
        <w:rPr>
          <w:bCs/>
          <w:b/>
        </w:rPr>
        <w:t xml:space="preserve">(9) Hedging strategy: đa dạng hóa thị trường + buffer inventory + higher-value FDI partnership + financial hedging</w:t>
      </w:r>
    </w:p>
    <w:p>
      <w:pPr>
        <w:pStyle w:val="BlockText"/>
      </w:pPr>
      <w:r>
        <w:rPr>
          <w:bCs/>
          <w:b/>
        </w:rPr>
        <w:t xml:space="preserve">Bằng chứng nền tảng</w:t>
      </w:r>
      <w:r>
        <w:t xml:space="preserve">: Lớp 7 ở Mục 1.1 file 14 (bất định chính sách thuế quan Mỹ 2026); Mục 6 (front-loading effect và tariff uncertainty); Mục 5.3 (năm rủi ro Việt Nam).</w:t>
      </w:r>
    </w:p>
    <w:p>
      <w:pPr>
        <w:pStyle w:val="FirstParagraph"/>
      </w:pPr>
      <w:r>
        <w:t xml:space="preserve">Trong bối cảnh Mỹ chiếm xấp xỉ 30% kim ngạch xuất khẩu Việt Nam và bất định chính sách thuế quan 2026 gây áp lực kép (front-loading + trì hoãn đầu tư + phân hóa lớn vs SME), doanh nghiệp Việt Nam cần</w:t>
      </w:r>
      <w:r>
        <w:t xml:space="preserve"> </w:t>
      </w:r>
      <w:r>
        <w:rPr>
          <w:bCs/>
          <w:b/>
        </w:rPr>
        <w:t xml:space="preserve">hedging strategy 4 nguyên tắc</w:t>
      </w:r>
      <w:r>
        <w:t xml:space="preserve">:</w:t>
      </w:r>
    </w:p>
    <w:p>
      <w:pPr>
        <w:numPr>
          <w:ilvl w:val="0"/>
          <w:numId w:val="1022"/>
        </w:numPr>
        <w:pStyle w:val="Compact"/>
      </w:pPr>
      <w:r>
        <w:rPr>
          <w:bCs/>
          <w:b/>
        </w:rPr>
        <w:t xml:space="preserve">Đa dạng hóa thị trường: giảm phụ thuộc Mỹ ~30% qua 5 hành lang thay thế</w:t>
      </w:r>
      <w:r>
        <w:t xml:space="preserve">:</w:t>
      </w:r>
    </w:p>
    <w:p>
      <w:pPr>
        <w:numPr>
          <w:ilvl w:val="0"/>
          <w:numId w:val="1023"/>
        </w:numPr>
        <w:pStyle w:val="Compact"/>
      </w:pPr>
      <w:r>
        <w:rPr>
          <w:bCs/>
          <w:b/>
        </w:rPr>
        <w:t xml:space="preserve">RCEP</w:t>
      </w:r>
      <w:r>
        <w:t xml:space="preserve"> </w:t>
      </w:r>
      <w:r>
        <w:t xml:space="preserve">(Regional Comprehensive Economic Partnership): 15 thành viên gồm ASEAN+5 (China, Japan, Korea, Australia, New Zealand), tổng GDP $26 ngàn tỷ, đối trọng lớn với Mỹ</w:t>
      </w:r>
    </w:p>
    <w:p>
      <w:pPr>
        <w:numPr>
          <w:ilvl w:val="0"/>
          <w:numId w:val="1023"/>
        </w:numPr>
        <w:pStyle w:val="Compact"/>
      </w:pPr>
      <w:r>
        <w:rPr>
          <w:bCs/>
          <w:b/>
        </w:rPr>
        <w:t xml:space="preserve">CPTPP</w:t>
      </w:r>
      <w:r>
        <w:t xml:space="preserve"> </w:t>
      </w:r>
      <w:r>
        <w:t xml:space="preserve">(Comprehensive and Progressive Trans-Pacific Partnership): 11 thành viên (Singapore, Japan, Australia, NZ, Mexico, Canada, Chile, Peru, Brunei, Malaysia, Việt Nam), phân khúc cao cấp + dịch vụ</w:t>
      </w:r>
    </w:p>
    <w:p>
      <w:pPr>
        <w:numPr>
          <w:ilvl w:val="0"/>
          <w:numId w:val="1023"/>
        </w:numPr>
        <w:pStyle w:val="Compact"/>
      </w:pPr>
      <w:r>
        <w:rPr>
          <w:bCs/>
          <w:b/>
        </w:rPr>
        <w:t xml:space="preserve">ACFTA</w:t>
      </w:r>
      <w:r>
        <w:t xml:space="preserve"> </w:t>
      </w:r>
      <w:r>
        <w:t xml:space="preserve">(ASEAN-China Free Trade Area): đặc biệt cho electronics + textiles + agricultural</w:t>
      </w:r>
    </w:p>
    <w:p>
      <w:pPr>
        <w:numPr>
          <w:ilvl w:val="0"/>
          <w:numId w:val="1023"/>
        </w:numPr>
        <w:pStyle w:val="Compact"/>
      </w:pPr>
      <w:r>
        <w:rPr>
          <w:bCs/>
          <w:b/>
        </w:rPr>
        <w:t xml:space="preserve">GCC partnership</w:t>
      </w:r>
      <w:r>
        <w:t xml:space="preserve"> </w:t>
      </w:r>
      <w:r>
        <w:t xml:space="preserve">(Gulf Cooperation Council, gồm Saudi/Qatar/UAE/Kuwait/Bahrain/Oman): đa dạng hóa sang Trung Đông sau xung đột giảm áp lực</w:t>
      </w:r>
    </w:p>
    <w:p>
      <w:pPr>
        <w:numPr>
          <w:ilvl w:val="0"/>
          <w:numId w:val="1023"/>
        </w:numPr>
        <w:pStyle w:val="Compact"/>
      </w:pPr>
      <w:r>
        <w:rPr>
          <w:bCs/>
          <w:b/>
        </w:rPr>
        <w:t xml:space="preserve">India trade corridor</w:t>
      </w:r>
      <w:r>
        <w:t xml:space="preserve">: thông qua India-Vietnam Comprehensive Strategic Partnership 2024, thị trường 1,4 tỷ dân tăng nhanh</w:t>
      </w:r>
    </w:p>
    <w:p>
      <w:pPr>
        <w:pStyle w:val="FirstParagraph"/>
      </w:pPr>
      <w:r>
        <w:t xml:space="preserve">Mục tiêu là giảm tỷ trọng xuất khẩu sang Mỹ từ 30% xuống còn 22-25% trong 2026-2030.</w:t>
      </w:r>
    </w:p>
    <w:p>
      <w:pPr>
        <w:numPr>
          <w:ilvl w:val="0"/>
          <w:numId w:val="1024"/>
        </w:numPr>
        <w:pStyle w:val="Compact"/>
      </w:pPr>
      <w:r>
        <w:rPr>
          <w:bCs/>
          <w:b/>
        </w:rPr>
        <w:t xml:space="preserve">Lập kế hoạch đẩy nhanh giao hàng + tồn kho dự phòng (front-loading planning + buffer inventory)</w:t>
      </w:r>
      <w:r>
        <w:t xml:space="preserve">, đối phó với bất định chính sách thuế quan:</w:t>
      </w:r>
    </w:p>
    <w:p>
      <w:pPr>
        <w:numPr>
          <w:ilvl w:val="0"/>
          <w:numId w:val="1025"/>
        </w:numPr>
        <w:pStyle w:val="Compact"/>
      </w:pPr>
      <w:r>
        <w:rPr>
          <w:bCs/>
          <w:b/>
        </w:rPr>
        <w:t xml:space="preserve">Lập kế hoạch đẩy nhanh giao hàng (front-load planning)</w:t>
      </w:r>
      <w:r>
        <w:t xml:space="preserve">: doanh nghiệp xuất khẩu lớn lập kế hoạch giao hàng quý 1-2 2026 để tận dụng cửa sổ thuế 10%, KHÔNG vi phạm quy tắc chống bán phá giá (anti-dumping rules) vì là phản ứng chính sách (policy response)</w:t>
      </w:r>
    </w:p>
    <w:p>
      <w:pPr>
        <w:numPr>
          <w:ilvl w:val="0"/>
          <w:numId w:val="1025"/>
        </w:numPr>
        <w:pStyle w:val="Compact"/>
      </w:pPr>
      <w:r>
        <w:rPr>
          <w:bCs/>
          <w:b/>
        </w:rPr>
        <w:t xml:space="preserve">Tồn kho dự phòng (buffer inventory)</w:t>
      </w:r>
      <w:r>
        <w:t xml:space="preserve"> </w:t>
      </w:r>
      <w:r>
        <w:t xml:space="preserve">ở thị trường Mỹ: duy trì</w:t>
      </w:r>
      <w:r>
        <w:t xml:space="preserve"> </w:t>
      </w:r>
      <w:r>
        <w:rPr>
          <w:bCs/>
          <w:b/>
        </w:rPr>
        <w:t xml:space="preserve">kho ngoại quan (warehouse)</w:t>
      </w:r>
      <w:r>
        <w:t xml:space="preserve"> </w:t>
      </w:r>
      <w:r>
        <w:t xml:space="preserve">với 60-90 ngày tồn kho để chống chịu gián đoạn ngắn hạn</w:t>
      </w:r>
    </w:p>
    <w:p>
      <w:pPr>
        <w:numPr>
          <w:ilvl w:val="0"/>
          <w:numId w:val="1025"/>
        </w:numPr>
        <w:pStyle w:val="Compact"/>
      </w:pPr>
      <w:r>
        <w:rPr>
          <w:bCs/>
          <w:b/>
        </w:rPr>
        <w:t xml:space="preserve">Tái cấu trúc hợp đồng (contract restructuring)</w:t>
      </w:r>
      <w:r>
        <w:t xml:space="preserve">: chuyển sang hợp đồng định giá bằng USD (USD-denominated contracts) với</w:t>
      </w:r>
      <w:r>
        <w:t xml:space="preserve"> </w:t>
      </w:r>
      <w:r>
        <w:rPr>
          <w:bCs/>
          <w:b/>
        </w:rPr>
        <w:t xml:space="preserve">điều khoản tối huệ quốc (Most-Favored-Nation, MFN clauses)</w:t>
      </w:r>
      <w:r>
        <w:t xml:space="preserve"> </w:t>
      </w:r>
      <w:r>
        <w:t xml:space="preserve">để bảo vệ trước thay đổi thuế quan có hiệu lực hồi tố (retroactive tariff changes)</w:t>
      </w:r>
    </w:p>
    <w:p>
      <w:pPr>
        <w:numPr>
          <w:ilvl w:val="0"/>
          <w:numId w:val="1026"/>
        </w:numPr>
        <w:pStyle w:val="Compact"/>
      </w:pPr>
      <w:r>
        <w:rPr>
          <w:bCs/>
          <w:b/>
        </w:rPr>
        <w:t xml:space="preserve">Higher-value FDI partnership thay cho assembly</w:t>
      </w:r>
      <w:r>
        <w:t xml:space="preserve">, học từ GVC re-positioning ở Mục 5.3 (d):</w:t>
      </w:r>
    </w:p>
    <w:p>
      <w:pPr>
        <w:numPr>
          <w:ilvl w:val="0"/>
          <w:numId w:val="1027"/>
        </w:numPr>
        <w:pStyle w:val="Compact"/>
      </w:pPr>
      <w:r>
        <w:rPr>
          <w:bCs/>
          <w:b/>
        </w:rPr>
        <w:t xml:space="preserve">TRÁNH</w:t>
      </w:r>
      <w:r>
        <w:t xml:space="preserve"> </w:t>
      </w:r>
      <w:r>
        <w:t xml:space="preserve">assembly-only FDI (low value-added, high tariff vulnerability) như assembly mass-production của Foxconn hay Samsung;</w:t>
      </w:r>
    </w:p>
    <w:p>
      <w:pPr>
        <w:numPr>
          <w:ilvl w:val="0"/>
          <w:numId w:val="1027"/>
        </w:numPr>
        <w:pStyle w:val="Compact"/>
      </w:pPr>
      <w:r>
        <w:rPr>
          <w:bCs/>
          <w:b/>
        </w:rPr>
        <w:t xml:space="preserve">ƯU TIÊN</w:t>
      </w:r>
      <w:r>
        <w:t xml:space="preserve"> </w:t>
      </w:r>
      <w:r>
        <w:t xml:space="preserve">R&amp;D và design FDI partnership, chẳng hạn mô hình Singapore Pacific Tech Park hay Korean semiconductor packaging tại Hà Nội;</w:t>
      </w:r>
    </w:p>
    <w:p>
      <w:pPr>
        <w:numPr>
          <w:ilvl w:val="0"/>
          <w:numId w:val="1027"/>
        </w:numPr>
        <w:pStyle w:val="Compact"/>
      </w:pPr>
      <w:r>
        <w:rPr>
          <w:bCs/>
          <w:b/>
        </w:rPr>
        <w:t xml:space="preserve">Mục tiêu</w:t>
      </w:r>
      <w:r>
        <w:t xml:space="preserve">: tăng value-added per export USD từ khoảng 30% hiện tại lên 45-50% trong 2026-2030, phù hợp với Vietnam_HighValue_FDI_2026 (xem hàm ý CĐ2 ở Mục 5.3).</w:t>
      </w:r>
    </w:p>
    <w:p>
      <w:pPr>
        <w:numPr>
          <w:ilvl w:val="0"/>
          <w:numId w:val="1028"/>
        </w:numPr>
        <w:pStyle w:val="Compact"/>
      </w:pPr>
      <w:r>
        <w:rPr>
          <w:bCs/>
          <w:b/>
        </w:rPr>
        <w:t xml:space="preserve">Phòng ngừa tài chính cho rủi ro tỷ giá USD/VND (financial hedging)</w:t>
      </w:r>
      <w:r>
        <w:t xml:space="preserve">:</w:t>
      </w:r>
    </w:p>
    <w:p>
      <w:pPr>
        <w:numPr>
          <w:ilvl w:val="0"/>
          <w:numId w:val="1029"/>
        </w:numPr>
        <w:pStyle w:val="Compact"/>
      </w:pPr>
      <w:r>
        <w:rPr>
          <w:bCs/>
          <w:b/>
        </w:rPr>
        <w:t xml:space="preserve">Phòng ngừa rủi ro ngoại hối (forex hedging)</w:t>
      </w:r>
      <w:r>
        <w:t xml:space="preserve">:</w:t>
      </w:r>
      <w:r>
        <w:t xml:space="preserve"> </w:t>
      </w:r>
      <w:r>
        <w:rPr>
          <w:bCs/>
          <w:b/>
        </w:rPr>
        <w:t xml:space="preserve">hợp đồng kỳ hạn (forward contracts)</w:t>
      </w:r>
      <w:r>
        <w:t xml:space="preserve"> </w:t>
      </w:r>
      <w:r>
        <w:t xml:space="preserve">+</w:t>
      </w:r>
      <w:r>
        <w:t xml:space="preserve"> </w:t>
      </w:r>
      <w:r>
        <w:rPr>
          <w:bCs/>
          <w:b/>
        </w:rPr>
        <w:t xml:space="preserve">hoán đổi tiền tệ (currency swaps)</w:t>
      </w:r>
      <w:r>
        <w:t xml:space="preserve"> </w:t>
      </w:r>
      <w:r>
        <w:t xml:space="preserve">cho doanh nghiệp xuất khẩu trên 1 triệu USD/năm</w:t>
      </w:r>
    </w:p>
    <w:p>
      <w:pPr>
        <w:numPr>
          <w:ilvl w:val="0"/>
          <w:numId w:val="1029"/>
        </w:numPr>
        <w:pStyle w:val="Compact"/>
      </w:pPr>
      <w:r>
        <w:rPr>
          <w:bCs/>
          <w:b/>
        </w:rPr>
        <w:t xml:space="preserve">Khoản phải thu đa tiền tệ (multi-currency receivables)</w:t>
      </w:r>
      <w:r>
        <w:t xml:space="preserve">: lập</w:t>
      </w:r>
      <w:r>
        <w:t xml:space="preserve"> </w:t>
      </w:r>
      <w:r>
        <w:rPr>
          <w:bCs/>
          <w:b/>
        </w:rPr>
        <w:t xml:space="preserve">hóa đơn đa tiền tệ (multi-currency invoicing)</w:t>
      </w:r>
      <w:r>
        <w:t xml:space="preserve"> </w:t>
      </w:r>
      <w:r>
        <w:t xml:space="preserve">với tỷ lệ 30% EUR + 30% JPY + 40% USD để giảm phơi nhiễm USD (dollar exposure)</w:t>
      </w:r>
    </w:p>
    <w:p>
      <w:pPr>
        <w:numPr>
          <w:ilvl w:val="0"/>
          <w:numId w:val="1029"/>
        </w:numPr>
        <w:pStyle w:val="Compact"/>
      </w:pPr>
      <w:r>
        <w:rPr>
          <w:bCs/>
          <w:b/>
        </w:rPr>
        <w:t xml:space="preserve">Hợp tác phòng ngừa giữa các ngân hàng (bank consortium hedging)</w:t>
      </w:r>
      <w:r>
        <w:t xml:space="preserve">: Vietcombank + BIDV + Techcombank lập hợp tác cung cấp sản phẩm phòng ngừa chi phí thấp cho SME (~0,5-1% giá trị danh nghĩa, notional vs 1,5-2% hiện tại)</w:t>
      </w:r>
    </w:p>
    <w:p>
      <w:pPr>
        <w:numPr>
          <w:ilvl w:val="0"/>
          <w:numId w:val="1029"/>
        </w:numPr>
        <w:pStyle w:val="Compact"/>
      </w:pPr>
      <w:r>
        <w:rPr>
          <w:bCs/>
          <w:b/>
        </w:rPr>
        <w:t xml:space="preserve">Phòng ngừa thông qua công nghệ tài chính (fintech-enabled hedging)</w:t>
      </w:r>
      <w:r>
        <w:t xml:space="preserve">: tận dụng MoMo + ZaloPay + ViettelPay với nhà cung cấp thanh khoản đặt tại Singapore (Singapore-based liquidity providers: Wise, Currencycloud)</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Hedging_Capability_Index</w:t>
      </w:r>
      <w:r>
        <w:t xml:space="preserve"> </w:t>
      </w:r>
      <w:r>
        <w:t xml:space="preserve">(proxy: market diversification HHI + buffer inventory days + forex hedging ratio + multi-currency invoicing %) để test xem doanh nghiệp có hedging capability cao có productivity payoff dài hạn ổn định hơn không (vs short-term boost rồi exhaustion). Robustness check #9 (hedging-adjusted), bổ sung sau front-loading-adjusted (#8).</w:t>
      </w:r>
    </w:p>
    <w:bookmarkEnd w:id="102"/>
    <w:bookmarkStart w:id="103" w:name="X57ab092dce38661557cf0c1a1da66622616be93"/>
    <w:p>
      <w:pPr>
        <w:pStyle w:val="Heading5"/>
      </w:pPr>
      <w:r>
        <w:t xml:space="preserve">2.4.3.4 Hàm ý cho Chuyên đề 2 và luận án — tám kiểm định độ vững cốt lõi</w:t>
      </w:r>
    </w:p>
    <w:p>
      <w:pPr>
        <w:pStyle w:val="FirstParagraph"/>
      </w:pPr>
      <w:r>
        <w:t xml:space="preserve">Phân tích mô tả của CĐ1 phát hiện một số biểu hiện giả tạo thống kê (statistical artifact), đặc biệt là hệ số âm DAI ở Advanced do bão hòa Tier-1, đứt gãy schema BREADY 2025, và dị biệt nội bộ phân nhóm con; điều này đòi hỏi CĐ2 phải kiểm chứng kết quả qua một bộ kiểm định độ vững (robustness check) có hệ thống. Dưới đây là</w:t>
      </w:r>
      <w:r>
        <w:t xml:space="preserve"> </w:t>
      </w:r>
      <w:r>
        <w:rPr>
          <w:bCs/>
          <w:b/>
        </w:rPr>
        <w:t xml:space="preserve">tám kiểm định độ vững cốt lõi</w:t>
      </w:r>
      <w:r>
        <w:t xml:space="preserve"> </w:t>
      </w:r>
      <w:r>
        <w:t xml:space="preserve">mà mô hình kiểm định của CĐ2 cần thực hiện, mỗi kiểm định gắn với một mối đe dọa nội tại cụ thể được CĐ1 nhận diện:</w:t>
      </w:r>
    </w:p>
    <w:p>
      <w:pPr>
        <w:numPr>
          <w:ilvl w:val="0"/>
          <w:numId w:val="1030"/>
        </w:numPr>
      </w:pPr>
      <w:r>
        <w:rPr>
          <w:bCs/>
          <w:b/>
        </w:rPr>
        <w:t xml:space="preserve">Mẫu phụ chỉ ngành chế biến chế tạo (Manufacturing-only subsample)</w:t>
      </w:r>
      <w:r>
        <w:t xml:space="preserve">. Ước lượng lại mô hình chính chỉ trên các doanh nghiệp ngành C (ISIC Rev. 4), tách thêm high-tech so với low-tech theo phân loại Kafouros et al. (2023). Mục đích: kiểm tra xem quan hệ chữ U ngược FSTS–năng suất (H1) có ổn định khi loại trừ dị biệt cơ cấu ngành dịch vụ và khai khoáng hay không. Đe dọa được xử lý: nhiễu cơ cấu ngành (Bảng 4.8.1).</w:t>
      </w:r>
    </w:p>
    <w:p>
      <w:pPr>
        <w:numPr>
          <w:ilvl w:val="0"/>
          <w:numId w:val="1030"/>
        </w:numPr>
      </w:pPr>
      <w:r>
        <w:rPr>
          <w:bCs/>
          <w:b/>
        </w:rPr>
        <w:t xml:space="preserve">Kiểm định loại trừ ICT (ICT exclusion test)</w:t>
      </w:r>
      <w:r>
        <w:t xml:space="preserve">. Loại các doanh nghiệp mã ISIC J (58–63) khỏi phân nhóm con Advanced đổi mới sáng tạo dẫn dắt rồi ước lượng lại hệ số DAI. Mục đích: xác nhận rằng hệ số âm DAI −0,129 ở Advanced trong Spec 1 là biểu hiện giả tạo do bão hòa Tier-1 chứ không phải hiệu ứng kinh tế thực (H3). Bằng chứng CĐ1 (Mục 4.4.5 file 15): hệ số âm biến mất sau khi loại ICT.</w:t>
      </w:r>
    </w:p>
    <w:p>
      <w:pPr>
        <w:numPr>
          <w:ilvl w:val="0"/>
          <w:numId w:val="1030"/>
        </w:numPr>
      </w:pPr>
      <w:r>
        <w:rPr>
          <w:bCs/>
          <w:b/>
        </w:rPr>
        <w:t xml:space="preserve">Tách ngành du lịch và khách sạn cho SIDS (Tourism/Hotels separation)</w:t>
      </w:r>
      <w:r>
        <w:t xml:space="preserve">. Tách riêng các doanh nghiệp ISIC I (55–56) ở SIDS Thái Bình Dương để kiểm tra xem tỷ lệ FDI ≥10% cao bất thường ở SIDS (23,5%, Bảng 4.5) có do du lịch dẫn dắt bởi doanh nghiệp đa quốc gia hay không. Mục đích: cô lập trường hợp biên H6 khỏi nhiễu ngành dịch vụ du lịch.</w:t>
      </w:r>
    </w:p>
    <w:p>
      <w:pPr>
        <w:numPr>
          <w:ilvl w:val="0"/>
          <w:numId w:val="1030"/>
        </w:numPr>
      </w:pPr>
      <w:r>
        <w:rPr>
          <w:bCs/>
          <w:b/>
        </w:rPr>
        <w:t xml:space="preserve">Mẫu phụ ngành xây dựng: kiểm định Vùng Vịnh (Construction subsample test)</w:t>
      </w:r>
      <w:r>
        <w:t xml:space="preserve">. Ước lượng lại trên ngành F (41–43) ở nhóm Advanced tài nguyên dẫn dắt, nơi xây dựng theo dự án chiếm tỷ trọng cao. Mục đích: kiểm tra logic nhà nước tô và phân tán hẹp ở Vùng Vịnh (H5) có bị chi phối bởi cơ cấu ngành xây dựng hay không.</w:t>
      </w:r>
    </w:p>
    <w:p>
      <w:pPr>
        <w:numPr>
          <w:ilvl w:val="0"/>
          <w:numId w:val="1030"/>
        </w:numPr>
      </w:pPr>
      <w:r>
        <w:rPr>
          <w:bCs/>
          <w:b/>
        </w:rPr>
        <w:t xml:space="preserve">Loại trừ ngành khai khoáng khỏi cụm tài nguyên (Mining-excluded re-estimation)</w:t>
      </w:r>
      <w:r>
        <w:t xml:space="preserve">. Loại ngành B (05–09) khỏi các phân nhóm con tài nguyên dẫn dắt (Vùng Vịnh, Mongolia). Mục đích: phân biệt hiệu ứng cụm tài nguyên cấp thể chế (H5) khỏi hiệu ứng đặc thù ngành khai khoáng.</w:t>
      </w:r>
    </w:p>
    <w:p>
      <w:pPr>
        <w:numPr>
          <w:ilvl w:val="0"/>
          <w:numId w:val="1030"/>
        </w:numPr>
      </w:pPr>
      <w:r>
        <w:rPr>
          <w:bCs/>
          <w:b/>
        </w:rPr>
        <w:t xml:space="preserve">Mô hình neo cô lập đứt gãy schema BREADY 2025 (Anchor model)</w:t>
      </w:r>
      <w:r>
        <w:t xml:space="preserve">. Quy trình ba bước khóa hệ số neo ước lượng từ dữ liệu đến 2024 rồi tái ước lượng với dữ liệu đầy đủ 2009–2025, kèm kiểm định ổn định hệ số (Wald, Chow) và tỷ số hệ số (xem Mục 4.11.2 file 15). Mục đích: bảo đảm cấu trúc bảng hỏi BREADY 2025 không làm đảo chiều ý nghĩa thống kê cốt lõi của H1–H3.</w:t>
      </w:r>
    </w:p>
    <w:p>
      <w:pPr>
        <w:numPr>
          <w:ilvl w:val="0"/>
          <w:numId w:val="1030"/>
        </w:numPr>
      </w:pPr>
      <w:r>
        <w:rPr>
          <w:bCs/>
          <w:b/>
        </w:rPr>
        <w:t xml:space="preserve">Tương tác động học ngành × chất lượng thể chế (Industry × institutional dynamism)</w:t>
      </w:r>
      <w:r>
        <w:t xml:space="preserve">. Kiểm định các số hạng tương tác</w:t>
      </w:r>
      <w:r>
        <w:t xml:space="preserve"> </w:t>
      </w:r>
      <w:r>
        <w:rPr>
          <w:rStyle w:val="VerbatimChar"/>
        </w:rPr>
        <w:t xml:space="preserve">tech_dynamism × institutional_quality</w:t>
      </w:r>
      <w:r>
        <w:t xml:space="preserve"> </w:t>
      </w:r>
      <w:r>
        <w:t xml:space="preserve">(kỳ vọng dấu dương) và</w:t>
      </w:r>
      <w:r>
        <w:t xml:space="preserve"> </w:t>
      </w:r>
      <w:r>
        <w:rPr>
          <w:rStyle w:val="VerbatimChar"/>
        </w:rPr>
        <w:t xml:space="preserve">market_dynamism × institutional_quality</w:t>
      </w:r>
      <w:r>
        <w:t xml:space="preserve"> </w:t>
      </w:r>
      <w:r>
        <w:t xml:space="preserve">(kỳ vọng dấu âm) theo Kafouros et al. (2023). Mục đích: lặp lại (replicate) phát hiện CEE của Kafouros trong bối cảnh châu Á và cung cấp bằng chứng cho giả thuyết bổ trợ H7 của CĐ2.</w:t>
      </w:r>
    </w:p>
    <w:p>
      <w:pPr>
        <w:numPr>
          <w:ilvl w:val="0"/>
          <w:numId w:val="1030"/>
        </w:numPr>
      </w:pPr>
      <w:r>
        <w:rPr>
          <w:bCs/>
          <w:b/>
        </w:rPr>
        <w:t xml:space="preserve">Đối chiếu ranh giới đo lường (Construct-boundary cross-validation)</w:t>
      </w:r>
      <w:r>
        <w:t xml:space="preserve">. Chạy Spec 2 (DAI Tier-1+2 đa thành phần) chỉ ở các nền kinh tế có đủ dữ liệu BREADY+ để kiểm tra xem pattern kiểu Singapore, tức tương tác DAI × FSTS² dương, có xuất hiện khi dùng chỉ số số hóa tổ hợp hay không (xem Bảng 4.4.5.1 file 15). Mục đích: kiểm chứng khung CDCM và xác lập ranh giới giữa</w:t>
      </w:r>
      <w:r>
        <w:t xml:space="preserve"> </w:t>
      </w:r>
      <w:r>
        <w:t xml:space="preserve">“</w:t>
      </w:r>
      <w:r>
        <w:t xml:space="preserve">đòn bẩy</w:t>
      </w:r>
      <w:r>
        <w:t xml:space="preserve">”</w:t>
      </w:r>
      <w:r>
        <w:t xml:space="preserve"> </w:t>
      </w:r>
      <w:r>
        <w:t xml:space="preserve">(lever) và</w:t>
      </w:r>
      <w:r>
        <w:t xml:space="preserve"> </w:t>
      </w:r>
      <w:r>
        <w:t xml:space="preserve">“</w:t>
      </w:r>
      <w:r>
        <w:t xml:space="preserve">điểm nghẽn</w:t>
      </w:r>
      <w:r>
        <w:t xml:space="preserve">”</w:t>
      </w:r>
      <w:r>
        <w:t xml:space="preserve"> </w:t>
      </w:r>
      <w:r>
        <w:t xml:space="preserve">(bottleneck) của số hóa theo cấp tầng.</w:t>
      </w:r>
    </w:p>
    <w:p>
      <w:pPr>
        <w:pStyle w:val="FirstParagraph"/>
      </w:pPr>
      <w:r>
        <w:rPr>
          <w:bCs/>
          <w:b/>
        </w:rPr>
        <w:t xml:space="preserve">Các kiểm định mở rộng theo bối cảnh (supplementary)</w:t>
      </w:r>
      <w:r>
        <w:t xml:space="preserve">: ngoài tám kiểm định cốt lõi trên, các tiểu cảnh điển hình của Chương 5 và lý giải Chương 6 gợi ý thêm một số kiểm định bổ trợ đặc thù: điều chỉnh theo cơ cấu ngành (sector composition adjustment, Mục 5.3), loại doanh nghiệp xác sống khỏi mẫu phụ Trung Quốc (zombie-excluded re-estimation, Mục 5.4), hiệu chỉnh theo hiệu ứng đẩy nhanh giao hàng (front-loading-adjusted, Mục 6), điều chỉnh theo năng lực phòng ngừa (hedging-adjusted, Mục 7.3.3) và panel xác thực hậu đại dịch độc lập (Mục 4.11.3 file 15). Các kiểm định bổ trợ này phục vụ những câu hỏi đặc thù quốc gia hoặc đặc thù bối cảnh 2026, không thay thế tám kiểm định cốt lõi mang tính cấu trúc.</w:t>
      </w:r>
    </w:p>
    <w:bookmarkEnd w:id="103"/>
    <w:bookmarkEnd w:id="104"/>
    <w:bookmarkStart w:id="105" w:name="hạn-chế-của-chuyên-đề"/>
    <w:p>
      <w:pPr>
        <w:pStyle w:val="Heading4"/>
      </w:pPr>
      <w:r>
        <w:t xml:space="preserve">2.4.4 Hạn chế của chuyên đề</w:t>
      </w:r>
    </w:p>
    <w:p>
      <w:pPr>
        <w:pStyle w:val="FirstParagraph"/>
      </w:pPr>
      <w:r>
        <w:t xml:space="preserve">Chuyên đề thừa nhận bảy hạn chế cần được diễn giải như những</w:t>
      </w:r>
      <w:r>
        <w:t xml:space="preserve"> </w:t>
      </w:r>
      <w:r>
        <w:rPr>
          <w:bCs/>
          <w:b/>
        </w:rPr>
        <w:t xml:space="preserve">giới hạn suy luận (inferential bounds)</w:t>
      </w:r>
      <w:r>
        <w:t xml:space="preserve"> </w:t>
      </w:r>
      <w:r>
        <w:t xml:space="preserve">đặt ra ranh giới cho mọi kết luận, đồng thời định hướng cho thiết kế của CĐ2, phân tích tổng hợp và luận án. Việc nêu rõ các hạn chế này từ giai đoạn mô tả nhằm phòng tránh</w:t>
      </w:r>
      <w:r>
        <w:t xml:space="preserve"> </w:t>
      </w:r>
      <w:r>
        <w:t xml:space="preserve">“</w:t>
      </w:r>
      <w:r>
        <w:t xml:space="preserve">overclaiming</w:t>
      </w:r>
      <w:r>
        <w:t xml:space="preserve">”</w:t>
      </w:r>
      <w:r>
        <w:t xml:space="preserve"> </w:t>
      </w:r>
      <w:r>
        <w:t xml:space="preserve">và bảo đảm tính minh bạch theo chuẩn Aguinis et al. (2019).</w:t>
      </w:r>
    </w:p>
    <w:p>
      <w:pPr>
        <w:numPr>
          <w:ilvl w:val="0"/>
          <w:numId w:val="1031"/>
        </w:numPr>
      </w:pPr>
      <w:r>
        <w:rPr>
          <w:bCs/>
          <w:b/>
        </w:rPr>
        <w:t xml:space="preserve">Bão hòa DAI Tier-1 ở các nền kinh tế tiên tiến</w:t>
      </w:r>
      <w:r>
        <w:t xml:space="preserve">. Trong Spec 1, biến số hóa chỉ là website nhị phân (Tier-1 Digital Presence). Vì website đã bão hòa từ trước 2018 ở Singapore, Hong Kong, Hàn Quốc, Đài Loan và Israel, biến này không còn khả năng phân biệt (discriminate) năng suất giữa các doanh nghiệp ở Advanced; hệ số âm −0,129 do đó là biểu hiện giả tạo đo lường chứ không phải bằng chứng</w:t>
      </w:r>
      <w:r>
        <w:t xml:space="preserve"> </w:t>
      </w:r>
      <w:r>
        <w:t xml:space="preserve">“</w:t>
      </w:r>
      <w:r>
        <w:t xml:space="preserve">số hóa làm giảm năng suất</w:t>
      </w:r>
      <w:r>
        <w:t xml:space="preserve">”</w:t>
      </w:r>
      <w:r>
        <w:t xml:space="preserve">. Suy luận về</w:t>
      </w:r>
      <w:r>
        <w:t xml:space="preserve"> </w:t>
      </w:r>
      <w:r>
        <w:t xml:space="preserve">“</w:t>
      </w:r>
      <w:r>
        <w:t xml:space="preserve">năng lực số</w:t>
      </w:r>
      <w:r>
        <w:t xml:space="preserve">”</w:t>
      </w:r>
      <w:r>
        <w:t xml:space="preserve"> </w:t>
      </w:r>
      <w:r>
        <w:t xml:space="preserve">trong CĐ1 phải giới hạn ở phạm vi Áp dụng số nền tảng (Foundational Digital Adoption), không mở rộng thành</w:t>
      </w:r>
      <w:r>
        <w:t xml:space="preserve"> </w:t>
      </w:r>
      <w:r>
        <w:t xml:space="preserve">“</w:t>
      </w:r>
      <w:r>
        <w:t xml:space="preserve">Digital Transformation</w:t>
      </w:r>
      <w:r>
        <w:t xml:space="preserve">”</w:t>
      </w:r>
      <w:r>
        <w:t xml:space="preserve"> </w:t>
      </w:r>
      <w:r>
        <w:t xml:space="preserve">(Tier-3/4 không quan sát được trong WBES).</w:t>
      </w:r>
    </w:p>
    <w:p>
      <w:pPr>
        <w:numPr>
          <w:ilvl w:val="0"/>
          <w:numId w:val="1031"/>
        </w:numPr>
      </w:pPr>
      <w:r>
        <w:rPr>
          <w:bCs/>
          <w:b/>
        </w:rPr>
        <w:t xml:space="preserve">Hiệu ứng schema BREADY trong đợt khảo sát 2025</w:t>
      </w:r>
      <w:r>
        <w:t xml:space="preserve">. Đợt 2025 (n=17.107, 16,9% pool) dùng bảng hỏi BREADY khác hai thế hệ trước, gây những dịch chuyển đo lường phi kinh tế: điển hình FSTS Ấn Độ rơi từ 7,7% xuống 2,7% và R&amp;D nhiều nước tăng vọt do hiệu ứng bảng hỏi (questionnaire effect). Mọi so sánh chuỗi thời gian có dữ liệu 2025 phải được đọc với dè dặt cho tới khi áp dụng hệ thống cô lập</w:t>
      </w:r>
      <w:r>
        <w:t xml:space="preserve"> </w:t>
      </w:r>
      <w:r>
        <w:t xml:space="preserve">“</w:t>
      </w:r>
      <w:r>
        <w:t xml:space="preserve">triple-defense</w:t>
      </w:r>
      <w:r>
        <w:t xml:space="preserve">”</w:t>
      </w:r>
      <w:r>
        <w:t xml:space="preserve"> </w:t>
      </w:r>
      <w:r>
        <w:t xml:space="preserve">(Mục 4.11 file 15); Nepal 2025 bị để n/a vì schema chưa thống nhất.</w:t>
      </w:r>
    </w:p>
    <w:p>
      <w:pPr>
        <w:numPr>
          <w:ilvl w:val="0"/>
          <w:numId w:val="1031"/>
        </w:numPr>
      </w:pPr>
      <w:r>
        <w:rPr>
          <w:bCs/>
          <w:b/>
        </w:rPr>
        <w:t xml:space="preserve">Thiết kế cắt ngang gộp (pooled cross-sectional), không phải bảng (panel) thực thụ</w:t>
      </w:r>
      <w:r>
        <w:t xml:space="preserve">. Pool 101.185 doanh nghiệp là tập hợp cắt ngang lặp lại (repeated cross-section) chứ không theo dõi cùng một doanh nghiệp qua thời gian. Do đó CĐ1 không thể nhận diện hiệu ứng trong-doanh-nghiệp (within-firm) hay thiết lập quan hệ nhân quả; mọi tương quan ở Chương 6 là mô tả và có thể bị nhiễu bởi yếu tố không quan sát được. Việc nhận diện nhân quả (IV, panel) được dành cho CĐ2.</w:t>
      </w:r>
    </w:p>
    <w:p>
      <w:pPr>
        <w:numPr>
          <w:ilvl w:val="0"/>
          <w:numId w:val="1031"/>
        </w:numPr>
      </w:pPr>
      <w:r>
        <w:rPr>
          <w:bCs/>
          <w:b/>
        </w:rPr>
        <w:t xml:space="preserve">Loại trừ bốn ngành và giới hạn vũ trụ khảo sát WBES</w:t>
      </w:r>
      <w:r>
        <w:t xml:space="preserve">. WBES loại trừ tiện ích công cộng, dịch vụ chính phủ, chăm sóc sức khỏe và dịch vụ tài chính, đồng thời chỉ khảo sát doanh nghiệp chính thức có ít nhất 5 lao động. Vì vậy các pattern của CĐ1 không suy rộng được sang khu vực phi chính thức, vi doanh nghiệp (dưới 5 lao động) hay bốn ngành loại trừ, một giới hạn đặc biệt quan trọng ở Frontier và SIDS nơi khu vực phi chính thức lớn.</w:t>
      </w:r>
    </w:p>
    <w:p>
      <w:pPr>
        <w:numPr>
          <w:ilvl w:val="0"/>
          <w:numId w:val="1031"/>
        </w:numPr>
      </w:pPr>
      <w:r>
        <w:rPr>
          <w:bCs/>
          <w:b/>
        </w:rPr>
        <w:t xml:space="preserve">Tính dị thể của pool (pool heterogeneity) qua ba thế hệ khung dữ liệu</w:t>
      </w:r>
      <w:r>
        <w:t xml:space="preserve">. Pool hài hòa ba thế hệ schema (PICS3, Standardized, Standardized 2018+/BREADY) với định nghĩa biến không hoàn toàn đồng nhất; mẫu phụ đủ dữ liệu năng suất (86.457) loại bỏ không đồng đều giữa các phân nhóm con (Frontier mất 34,2%, xem ghi chú Bảng 4.1). Sự dị thể này hạn chế độ chính xác của các so sánh tuyệt đối xuyên thế hệ schema, dù không làm thay đổi các pattern định hướng (directional patterns).</w:t>
      </w:r>
    </w:p>
    <w:p>
      <w:pPr>
        <w:numPr>
          <w:ilvl w:val="0"/>
          <w:numId w:val="1031"/>
        </w:numPr>
      </w:pPr>
      <w:r>
        <w:rPr>
          <w:bCs/>
          <w:b/>
        </w:rPr>
        <w:t xml:space="preserve">Số liệu giới tính là ước tính theo phân nhóm con, chưa tính trực tiếp từ biến gốc</w:t>
      </w:r>
      <w:r>
        <w:t xml:space="preserve">. Bảng 4.5.6 (file 15) trình bày tỷ lệ nữ quản lý cấp cao và nữ sở hữu dưới dạng khoảng ước tính (range estimate) tổng hợp theo phân nhóm con ICRV, chưa tính chính xác từ biến WBES</w:t>
      </w:r>
      <w:r>
        <w:t xml:space="preserve"> </w:t>
      </w:r>
      <w:r>
        <w:rPr>
          <w:rStyle w:val="VerbatimChar"/>
        </w:rPr>
        <w:t xml:space="preserve">b7a</w:t>
      </w:r>
      <w:r>
        <w:t xml:space="preserve">/</w:t>
      </w:r>
      <w:r>
        <w:rPr>
          <w:rStyle w:val="VerbatimChar"/>
        </w:rPr>
        <w:t xml:space="preserve">b4</w:t>
      </w:r>
      <w:r>
        <w:t xml:space="preserve"> </w:t>
      </w:r>
      <w:r>
        <w:t xml:space="preserve">ở cấp doanh nghiệp. Vì vậy các nhận định về giới (Mục 4.5.6 và 6.1) mang tính gợi mở; trị số chính xác sẽ được tính lại trong giai đoạn hoàn thiện và dùng làm biến kiểm soát/điều tiết trong CĐ2.</w:t>
      </w:r>
    </w:p>
    <w:p>
      <w:pPr>
        <w:numPr>
          <w:ilvl w:val="0"/>
          <w:numId w:val="1031"/>
        </w:numPr>
      </w:pPr>
      <w:r>
        <w:rPr>
          <w:bCs/>
          <w:b/>
        </w:rPr>
        <w:t xml:space="preserve">Thiếu bằng chứng cường độ (magnitude evidence): chờ phân tích tổng hợp</w:t>
      </w:r>
      <w:r>
        <w:t xml:space="preserve">. CĐ1 cung cấp</w:t>
      </w:r>
      <w:r>
        <w:t xml:space="preserve"> </w:t>
      </w:r>
      <w:r>
        <w:rPr>
          <w:iCs/>
          <w:i/>
        </w:rPr>
        <w:t xml:space="preserve">bằng chứng tồn tại</w:t>
      </w:r>
      <w:r>
        <w:t xml:space="preserve"> </w:t>
      </w:r>
      <w:r>
        <w:t xml:space="preserve">(existence evidence) cho H1–H6 qua thống kê mô tả và các điểm uốn đơn quốc gia (Việt Nam, Trung Quốc, Singapore), nhưng chưa cung cấp</w:t>
      </w:r>
      <w:r>
        <w:t xml:space="preserve"> </w:t>
      </w:r>
      <w:r>
        <w:rPr>
          <w:iCs/>
          <w:i/>
        </w:rPr>
        <w:t xml:space="preserve">bằng chứng cường độ</w:t>
      </w:r>
      <w:r>
        <w:t xml:space="preserve">, tức quy mô hiệu ứng gộp (pooled effect size) chuẩn hóa và khoảng tin cậy xuyên 47 nền kinh tế. Bằng chứng cường độ này phụ thuộc vào bài báo tổng hợp định lượng phân tích tổng hợp (đang chuẩn bị, phương pháp PRISMA 2020). Cho tới khi phân tích tổng hợp hoàn thành, mọi phát biểu về độ lớn hiệu ứng tổng hợp phải được trình bày như giả định cần kiểm chứng, không phải kết luận đã xác lập.</w:t>
      </w:r>
    </w:p>
    <w:bookmarkEnd w:id="105"/>
    <w:bookmarkStart w:id="106" w:name="kế-hoạch-hoàn-thiện"/>
    <w:p>
      <w:pPr>
        <w:pStyle w:val="Heading4"/>
      </w:pPr>
      <w:r>
        <w:t xml:space="preserve">2.4.5 Kế hoạch hoàn thiện</w:t>
      </w:r>
    </w:p>
    <w:p>
      <w:pPr>
        <w:pStyle w:val="FirstParagraph"/>
      </w:pPr>
      <w:r>
        <w:t xml:space="preserve">Chuyên đề được hoàn thiện theo bốn giai đoạn nối tiếp từ tháng 6/2026 đến tháng 9/2026, mỗi giai đoạn xử lý một nhóm hạn chế nêu ở Mục 7.4 và bổ sung phần còn để ngỏ trong các phụ lục:</w:t>
      </w:r>
    </w:p>
    <w:p>
      <w:pPr>
        <w:numPr>
          <w:ilvl w:val="0"/>
          <w:numId w:val="1032"/>
        </w:numPr>
      </w:pPr>
      <w:r>
        <w:rPr>
          <w:bCs/>
          <w:b/>
        </w:rPr>
        <w:t xml:space="preserve">Giai đoạn 1 (tháng 6/2026): Hoàn thiện dữ liệu và đo lường gốc</w:t>
      </w:r>
      <w:r>
        <w:t xml:space="preserve">. Tính lại trực tiếp các trị số P90/P10 và P75/P25 cho Bảng 4.1 (xử lý hạn chế 5), tính chính xác số liệu giới tính từ biến</w:t>
      </w:r>
      <w:r>
        <w:t xml:space="preserve"> </w:t>
      </w:r>
      <w:r>
        <w:rPr>
          <w:rStyle w:val="VerbatimChar"/>
        </w:rPr>
        <w:t xml:space="preserve">b7a</w:t>
      </w:r>
      <w:r>
        <w:t xml:space="preserve">/</w:t>
      </w:r>
      <w:r>
        <w:rPr>
          <w:rStyle w:val="VerbatimChar"/>
        </w:rPr>
        <w:t xml:space="preserve">b4</w:t>
      </w:r>
      <w:r>
        <w:t xml:space="preserve"> </w:t>
      </w:r>
      <w:r>
        <w:t xml:space="preserve">(hạn chế 6), quy đổi năng suất sang USD PPP, và chốt số doanh nghiệp Indonesia và Philippines trong phân rã Bảng 4.9 (xử lý C5). Đầu ra: Bảng 4.1, 4.5.6 và 4.9 với số liệu hoàn chỉnh thay cho các ô</w:t>
      </w:r>
      <w:r>
        <w:t xml:space="preserve"> </w:t>
      </w:r>
      <w:r>
        <w:t xml:space="preserve">“</w:t>
      </w:r>
      <w:r>
        <w:t xml:space="preserve">(cập nhật GĐ1)</w:t>
      </w:r>
      <w:r>
        <w:t xml:space="preserve">”</w:t>
      </w:r>
      <w:r>
        <w:t xml:space="preserve"> </w:t>
      </w:r>
      <w:r>
        <w:t xml:space="preserve">và ước tính khoảng.</w:t>
      </w:r>
    </w:p>
    <w:p>
      <w:pPr>
        <w:numPr>
          <w:ilvl w:val="0"/>
          <w:numId w:val="1032"/>
        </w:numPr>
      </w:pPr>
      <w:r>
        <w:rPr>
          <w:bCs/>
          <w:b/>
        </w:rPr>
        <w:t xml:space="preserve">Giai đoạn 2 (tháng 7/2026): Bảng mô tả cấp ngành và cô lập schema</w:t>
      </w:r>
      <w:r>
        <w:t xml:space="preserve">. Xây dựng các bảng mô tả cấp ngành theo khung 9 ngành ISIC (Bảng 4.8.1), triển khai hệ thống</w:t>
      </w:r>
      <w:r>
        <w:t xml:space="preserve"> </w:t>
      </w:r>
      <w:r>
        <w:t xml:space="preserve">“</w:t>
      </w:r>
      <w:r>
        <w:t xml:space="preserve">triple-defense</w:t>
      </w:r>
      <w:r>
        <w:t xml:space="preserve">”</w:t>
      </w:r>
      <w:r>
        <w:t xml:space="preserve"> </w:t>
      </w:r>
      <w:r>
        <w:t xml:space="preserve">cô lập đứt gãy schema BREADY 2025 (xử lý hạn chế 2) và tạo 11 hình minh họa từ</w:t>
      </w:r>
      <w:r>
        <w:t xml:space="preserve"> </w:t>
      </w:r>
      <w:r>
        <w:rPr>
          <w:rStyle w:val="VerbatimChar"/>
        </w:rPr>
        <w:t xml:space="preserve">generate_figures.py</w:t>
      </w:r>
      <w:r>
        <w:t xml:space="preserve">. Đầu ra: phụ lục cấp ngành và bộ hình hoàn chỉnh.</w:t>
      </w:r>
    </w:p>
    <w:p>
      <w:pPr>
        <w:numPr>
          <w:ilvl w:val="0"/>
          <w:numId w:val="1032"/>
        </w:numPr>
      </w:pPr>
      <w:r>
        <w:rPr>
          <w:bCs/>
          <w:b/>
        </w:rPr>
        <w:t xml:space="preserve">Giai đoạn 3 (tháng 8/2026): Mở rộng phụ lục và đối chiếu chéo</w:t>
      </w:r>
      <w:r>
        <w:t xml:space="preserve">. Mở rộng Phụ lục B–G, đối chiếu chéo (cross-validate) toàn bộ pool với baseline 17 nước của Đỗ &amp; Phan (2026, VEFR) để kiểm tra tính nhất quán (xử lý hạn chế 5), và hoàn tất gói tái lập (replication package) mở. Đầu ra: phụ lục đầy đủ và gói tái lập công khai.</w:t>
      </w:r>
    </w:p>
    <w:p>
      <w:pPr>
        <w:numPr>
          <w:ilvl w:val="0"/>
          <w:numId w:val="1032"/>
        </w:numPr>
      </w:pPr>
      <w:r>
        <w:rPr>
          <w:bCs/>
          <w:b/>
        </w:rPr>
        <w:t xml:space="preserve">Giai đoạn 4 (tháng 9/2026): Tích hợp với CĐ2 và rà soát cuối</w:t>
      </w:r>
      <w:r>
        <w:t xml:space="preserve">. Tích hợp định hướng H1–H6 và tám kiểm định độ vững cốt lõi (Mục 7.3.4) vào thiết kế CĐ2, rà soát nhất quán số liệu và nhãn xuyên ba phần, và chuẩn bị bản nộp Hội đồng. Đầu ra: bản chuyên đề hoàn chỉnh sẵn sàng bảo vệ, đồng bộ với mô hình kiểm định của CĐ2.</w:t>
      </w:r>
    </w:p>
    <w:p>
      <w:r>
        <w:pict>
          <v:rect style="width:0;height:1.5pt" o:hralign="center" o:hrstd="t" o:hr="t"/>
        </w:pict>
      </w:r>
    </w:p>
    <w:bookmarkEnd w:id="106"/>
    <w:bookmarkEnd w:id="107"/>
    <w:bookmarkEnd w:id="108"/>
    <w:bookmarkStart w:id="109" w:name="tài-liệu-tham-khảo"/>
    <w:p>
      <w:pPr>
        <w:pStyle w:val="Heading2"/>
      </w:pPr>
      <w:r>
        <w:t xml:space="preserve">TÀI LIỆU THAM KHẢO</w:t>
      </w:r>
    </w:p>
    <w:p>
      <w:pPr>
        <w:pStyle w:val="BlockText"/>
      </w:pPr>
      <w:r>
        <w:t xml:space="preserve">Trích dẫn theo APA 7th. Danh mục đầy đủ ở</w:t>
      </w:r>
      <w:r>
        <w:t xml:space="preserve"> </w:t>
      </w:r>
      <w:r>
        <w:rPr>
          <w:rStyle w:val="VerbatimChar"/>
        </w:rPr>
        <w:t xml:space="preserve">thesis/04_references_apa7.md</w:t>
      </w:r>
      <w:r>
        <w:t xml:space="preserve"> </w:t>
      </w:r>
      <w:r>
        <w:t xml:space="preserve">(v2.5).</w:t>
      </w:r>
    </w:p>
    <w:p>
      <w:r>
        <w:pict>
          <v:rect style="width:0;height:1.5pt" o:hralign="center" o:hrstd="t" o:hr="t"/>
        </w:pict>
      </w:r>
    </w:p>
    <w:bookmarkEnd w:id="109"/>
    <w:bookmarkStart w:id="112" w:name="phụ-lục"/>
    <w:p>
      <w:pPr>
        <w:pStyle w:val="Heading2"/>
      </w:pPr>
      <w:r>
        <w:t xml:space="preserve">PHỤ LỤC</w:t>
      </w:r>
    </w:p>
    <w:bookmarkStart w:id="110" w:name="Xac7090a743afa00f99b5424d88f7949cab3c6cf"/>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110"/>
    <w:bookmarkStart w:id="111" w:name="phụ-lục-b-g"/>
    <w:p>
      <w:pPr>
        <w:pStyle w:val="Heading3"/>
      </w:pPr>
      <w:r>
        <w:t xml:space="preserve">Phụ lục B – G</w:t>
      </w:r>
    </w:p>
    <w:p>
      <w:pPr>
        <w:pStyle w:val="FirstParagraph"/>
      </w:pPr>
      <w:r>
        <w:t xml:space="preserve">(Sẽ mở rộng giai đoạn 1–3 tháng 6–8/2026.)</w:t>
      </w:r>
      <w:r>
        <w:t xml:space="preserve"> </w:t>
      </w:r>
      <w:r>
        <w:t xml:space="preserve">## PHỤ LỤC H — BẢNG THUẬT NGỮ ANH-VIỆT (RÚT GỌN)</w:t>
      </w:r>
    </w:p>
    <w:p>
      <w:pPr>
        <w:pStyle w:val="BodyText"/>
      </w:pPr>
      <w:r>
        <w:t xml:space="preserve">(Sáu nhóm thuật ngữ kèm ánh xạ Hán-Việt.)</w:t>
      </w:r>
    </w:p>
    <w:p>
      <w:r>
        <w:pict>
          <v:rect style="width:0;height:1.5pt" o:hralign="center" o:hrstd="t" o:hr="t"/>
        </w:pict>
      </w:r>
    </w:p>
    <w:p>
      <w:pPr>
        <w:pStyle w:val="FirstParagraph"/>
      </w:pPr>
      <w:r>
        <w:rPr>
          <w:iCs/>
          <w:i/>
        </w:rPr>
        <w:t xml:space="preserve">Tiếp tục ở Phần 2 (Chương 4,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r>
        <w:t xml:space="preserve"> </w:t>
      </w:r>
      <w:r>
        <w:t xml:space="preserve">—</w:t>
      </w:r>
    </w:p>
    <w:bookmarkEnd w:id="111"/>
    <w:bookmarkEnd w:id="112"/>
    <w:bookmarkEnd w:id="11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2026-06-04T15:39:26Z</dcterms:created>
  <dcterms:modified xsi:type="dcterms:W3CDTF">2026-06-04T15:39:26Z</dcterms:modified>
</cp:coreProperties>
</file>

<file path=docProps/custom.xml><?xml version="1.0" encoding="utf-8"?>
<Properties xmlns="http://schemas.openxmlformats.org/officeDocument/2006/custom-properties" xmlns:vt="http://schemas.openxmlformats.org/officeDocument/2006/docPropsVTypes"/>
</file>