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6.png" ContentType="image/png"/>
  <Override PartName="/word/media/rId60.png" ContentType="image/png"/>
  <Override PartName="/word/media/rId64.png" ContentType="image/png"/>
  <Override PartName="/word/media/rId46.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Can Tho University / Huong Do Thi Thuy</w:t>
      </w:r>
      <w:r>
        <w:t xml:space="preserve"> </w:t>
      </w:r>
      <w:r>
        <w:rPr>
          <w:bCs/>
          <w:b/>
        </w:rPr>
        <w:t xml:space="preserve">Phan Anh Tú</w:t>
      </w:r>
      <w:r>
        <w:t xml:space="preserve">, Can Tho University</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 across a geographically diverse corpus.</w:t>
      </w:r>
    </w:p>
    <w:p>
      <w:pPr>
        <w:pStyle w:val="BodyText"/>
      </w:pPr>
      <w:r>
        <w:rPr>
          <w:bCs/>
          <w:b/>
        </w:rPr>
        <w:t xml:space="preserve">Design/methodology/approach.</w:t>
      </w:r>
      <w:r>
        <w:t xml:space="preserve"> </w:t>
      </w:r>
      <w:r>
        <w:t xml:space="preserve">Following PRISMA 2020,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decomposes within- and between-study heterogeneity under OSF pre-registration.</w:t>
      </w:r>
    </w:p>
    <w:p>
      <w:pPr>
        <w:pStyle w:val="BodyText"/>
      </w:pPr>
      <w:r>
        <w:rPr>
          <w:bCs/>
          <w:b/>
        </w:rPr>
        <w:t xml:space="preserve">Findings.</w:t>
      </w:r>
      <w:r>
        <w:t xml:space="preserve"> </w:t>
      </w:r>
      <w:r>
        <w:t xml:space="preserve">Pooled effect</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full-sample ICRV omnibus is significant (</w:t>
      </w:r>
      <w:r>
        <w:rPr>
          <w:iCs/>
          <w:i/>
        </w:rPr>
        <w:t xml:space="preserve">Q</w:t>
      </w:r>
      <w:r>
        <w:t xml:space="preserve">_M = 17.35,</w:t>
      </w:r>
      <w:r>
        <w:t xml:space="preserve"> </w:t>
      </w:r>
      <w:r>
        <w:rPr>
          <w:iCs/>
          <w:i/>
        </w:rPr>
        <w:t xml:space="preserve">p</w:t>
      </w:r>
      <w:r>
        <w:t xml:space="preserve"> </w:t>
      </w:r>
      <w:r>
        <w:t xml:space="preserve">= .002) but not robust: drop-Frontier sensitivity yields</w:t>
      </w:r>
      <w:r>
        <w:t xml:space="preserve"> </w:t>
      </w:r>
      <w:r>
        <w:rPr>
          <w:iCs/>
          <w:i/>
        </w:rPr>
        <w:t xml:space="preserve">Q</w:t>
      </w:r>
      <w:r>
        <w:t xml:space="preserve">_M = 1.49 (</w:t>
      </w:r>
      <w:r>
        <w:rPr>
          <w:iCs/>
          <w:i/>
        </w:rPr>
        <w:t xml:space="preserve">p</w:t>
      </w:r>
      <w:r>
        <w:t xml:space="preserve"> </w:t>
      </w:r>
      <w:r>
        <w:t xml:space="preserve">= .68); cDAI and DPL moderation are non-significant. Trim-and-fill imputes</w:t>
      </w:r>
      <w:r>
        <w:t xml:space="preserve"> </w:t>
      </w:r>
      <w:r>
        <w:rPr>
          <w:iCs/>
          <w:i/>
        </w:rPr>
        <w:t xml:space="preserve">k</w:t>
      </w:r>
      <w:r>
        <w:t xml:space="preserve"> </w:t>
      </w:r>
      <w:r>
        <w:t xml:space="preserve">= 58 missing studies, cutting</w:t>
      </w:r>
      <w:r>
        <w:t xml:space="preserve"> </w:t>
      </w:r>
      <w:r>
        <w:rPr>
          <w:iCs/>
          <w:i/>
        </w:rPr>
        <w:t xml:space="preserve">r</w:t>
      </w:r>
      <w:r>
        <w:t xml:space="preserve"> </w:t>
      </w:r>
      <w:r>
        <w:t xml:space="preserve">to .035 — a ~53% attenuation (Begg</w:t>
      </w:r>
      <w:r>
        <w:t xml:space="preserve"> </w:t>
      </w:r>
      <w:r>
        <w:rPr>
          <w:iCs/>
          <w:i/>
        </w:rPr>
        <w:t xml:space="preserve">p</w:t>
      </w:r>
      <w:r>
        <w:t xml:space="preserve"> </w:t>
      </w:r>
      <w:r>
        <w:t xml:space="preserve">&lt; .001).</w:t>
      </w:r>
    </w:p>
    <w:p>
      <w:pPr>
        <w:pStyle w:val="BodyText"/>
      </w:pPr>
      <w:r>
        <w:rPr>
          <w:bCs/>
          <w:b/>
        </w:rPr>
        <w:t xml:space="preserve">Originality/value.</w:t>
      </w:r>
      <w:r>
        <w:t xml:space="preserve"> </w:t>
      </w:r>
      <w:r>
        <w:t xml:space="preserve">First three-level MARA and first pre-registered cDAI/ICRV/DPL meta-test in the I-P literature;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w:t>
      </w:r>
      <w:r>
        <w:t xml:space="preserve"> </w:t>
      </w:r>
      <w:r>
        <w:t xml:space="preserve">“</w:t>
      </w:r>
      <w:r>
        <w:t xml:space="preserve">dynamo analogy</w:t>
      </w:r>
      <w:r>
        <w:t xml:space="preserve">”</w:t>
      </w:r>
      <w:r>
        <w:t xml:space="preserve"> </w:t>
      </w:r>
      <w:r>
        <w:t xml:space="preserve">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5a265616be60724cd853da768753e8fd72994b5"/>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digital-paradox-lifecycle-dpl"/>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cdai-as-amplifier"/>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publication-bias-as-null-hypothesis"/>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5"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2"/>
    <w:bookmarkStart w:id="36"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 795 duplicates removed → 1,397 L1 excluded →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CaptionedFigure"/>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4" name="Picture"/>
            <a:graphic>
              <a:graphicData uri="http://schemas.openxmlformats.org/drawingml/2006/picture">
                <pic:pic>
                  <pic:nvPicPr>
                    <pic:cNvPr descr="figures/figure_prisma_2020_flow.png" id="35" name="Picture"/>
                    <pic:cNvPicPr>
                      <a:picLocks noChangeArrowheads="1" noChangeAspect="1"/>
                    </pic:cNvPicPr>
                  </pic:nvPicPr>
                  <pic:blipFill>
                    <a:blip r:embed="rId33"/>
                    <a:stretch>
                      <a:fillRect/>
                    </a:stretch>
                  </pic:blipFill>
                  <pic:spPr bwMode="auto">
                    <a:xfrm>
                      <a:off x="0" y="0"/>
                      <a:ext cx="5753100" cy="7273882"/>
                    </a:xfrm>
                    <a:prstGeom prst="rect">
                      <a:avLst/>
                    </a:prstGeom>
                    <a:noFill/>
                    <a:ln w="9525">
                      <a:noFill/>
                      <a:headEnd/>
                      <a:tailEnd/>
                    </a:ln>
                  </pic:spPr>
                </pic:pic>
              </a:graphicData>
            </a:graphic>
          </wp:inline>
        </w:drawing>
      </w:r>
    </w:p>
    <w:p>
      <w:pPr>
        <w:pStyle w:val="ImageCaption"/>
      </w:pPr>
      <w:r>
        <w:t xml:space="preserve">Figure 7. PRISMA 2020 two-path flow diagram. Path A (left, blue): the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complete. Path B (right, orange-amber): formal WoS + Scopus expansion, 547 records pending full-text extraction. The final analyzed corpus pools to Path A only at the current build.</w:t>
      </w:r>
    </w:p>
    <w:bookmarkEnd w:id="36"/>
    <w:bookmarkStart w:id="40" w:name="data-extraction-and-quality-assurance"/>
    <w:p>
      <w:pPr>
        <w:pStyle w:val="Heading3"/>
      </w:pPr>
      <w:r>
        <w:t xml:space="preserve">3.3 Data Extraction and Quality Assurance</w:t>
      </w:r>
    </w:p>
    <w:bookmarkStart w:id="37"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7"/>
    <w:bookmarkStart w:id="38" w:name="coding-quality-and-verification"/>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8"/>
    <w:bookmarkStart w:id="39"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9"/>
    <w:bookmarkEnd w:id="40"/>
    <w:bookmarkStart w:id="41"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w:t>
      </w:r>
      <w:r>
        <w:t xml:space="preserve"> </w:t>
      </w:r>
      <w:r>
        <w:t xml:space="preserve">“</w:t>
      </w:r>
      <w:r>
        <w:t xml:space="preserve">Precede</w:t>
      </w:r>
      <w:r>
        <w:t xml:space="preserve">”</w:t>
      </w:r>
      <w:r>
        <w:t xml:space="preserve"> </w:t>
      </w:r>
      <w:r>
        <w:t xml:space="preserve">(median</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(median 2009–2013),</w:t>
      </w:r>
      <w:r>
        <w:t xml:space="preserve"> </w:t>
      </w:r>
      <w:r>
        <w:t xml:space="preserve">“</w:t>
      </w:r>
      <w:r>
        <w:t xml:space="preserve">Follow</w:t>
      </w:r>
      <w:r>
        <w:t xml:space="preserve">”</w:t>
      </w:r>
      <w:r>
        <w:t xml:space="preserve"> </w:t>
      </w:r>
      <w:r>
        <w:t xml:space="preserve">(median</w:t>
      </w:r>
      <w:r>
        <w:t xml:space="preserve"> </w:t>
      </w:r>
      <m:oMath>
        <m:r>
          <m:rPr>
            <m:sty m:val="p"/>
          </m:rPr>
          <m:t>≥</m:t>
        </m:r>
      </m:oMath>
      <w:r>
        <w:t xml:space="preserve"> </w:t>
      </w:r>
      <w:r>
        <w:t xml:space="preserve">2014).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41"/>
    <w:bookmarkStart w:id="42"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2"/>
    <w:bookmarkStart w:id="43" w:name="publication-bias-assessment"/>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Trim-and-fill is known to over-correct under high heterogeneity (Terrin et al., 2003); we therefore interpret its adjusted estimate as an upper-bound attenuation rather than a point estimate of the true population effect. Test specifications are in</w:t>
      </w:r>
      <w:r>
        <w:t xml:space="preserve"> </w:t>
      </w:r>
      <w:r>
        <w:rPr>
          <w:bCs/>
          <w:b/>
        </w:rPr>
        <w:t xml:space="preserve">Supp-M</w:t>
      </w:r>
      <w:r>
        <w:t xml:space="preserve">.</w:t>
      </w:r>
    </w:p>
    <w:bookmarkEnd w:id="43"/>
    <w:bookmarkStart w:id="44" w:name="robustness-checks"/>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4"/>
    <w:bookmarkEnd w:id="45"/>
    <w:bookmarkStart w:id="68" w:name="results"/>
    <w:p>
      <w:pPr>
        <w:pStyle w:val="Heading2"/>
      </w:pPr>
      <w:r>
        <w:t xml:space="preserve">4. Results</w:t>
      </w:r>
    </w:p>
    <w:bookmarkStart w:id="49" w:name="sample-description"/>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CaptionedFigure"/>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7" name="Picture"/>
            <a:graphic>
              <a:graphicData uri="http://schemas.openxmlformats.org/drawingml/2006/picture">
                <pic:pic>
                  <pic:nvPicPr>
                    <pic:cNvPr descr="figures/figure6_year_distribution.png" id="48" name="Picture"/>
                    <pic:cNvPicPr>
                      <a:picLocks noChangeArrowheads="1" noChangeAspect="1"/>
                    </pic:cNvPicPr>
                  </pic:nvPicPr>
                  <pic:blipFill>
                    <a:blip r:embed="rId46"/>
                    <a:stretch>
                      <a:fillRect/>
                    </a:stretch>
                  </pic:blipFill>
                  <pic:spPr bwMode="auto">
                    <a:xfrm>
                      <a:off x="0" y="0"/>
                      <a:ext cx="5753100" cy="2547026"/>
                    </a:xfrm>
                    <a:prstGeom prst="rect">
                      <a:avLst/>
                    </a:prstGeom>
                    <a:noFill/>
                    <a:ln w="9525">
                      <a:noFill/>
                      <a:headEnd/>
                      <a:tailEnd/>
                    </a:ln>
                  </pic:spPr>
                </pic:pic>
              </a:graphicData>
            </a:graphic>
          </wp:inline>
        </w:drawing>
      </w:r>
    </w:p>
    <w:p>
      <w:pPr>
        <w:pStyle w:val="ImageCaption"/>
      </w:pPr>
      <w:r>
        <w:t xml:space="preserve">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w:t>
      </w:r>
    </w:p>
    <w:bookmarkEnd w:id="49"/>
    <w:bookmarkStart w:id="50"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0"/>
    <w:bookmarkStart w:id="54" w:name="icrv-regime-moderation-h1"/>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52" name="Picture"/>
            <a:graphic>
              <a:graphicData uri="http://schemas.openxmlformats.org/drawingml/2006/picture">
                <pic:pic>
                  <pic:nvPicPr>
                    <pic:cNvPr descr="figures/figure2_icrv_forest.png" id="53" name="Picture"/>
                    <pic:cNvPicPr>
                      <a:picLocks noChangeArrowheads="1" noChangeAspect="1"/>
                    </pic:cNvPicPr>
                  </pic:nvPicPr>
                  <pic:blipFill>
                    <a:blip r:embed="rId51"/>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4"/>
    <w:bookmarkStart w:id="55"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5"/>
    <w:bookmarkStart w:id="59"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CaptionedFigure"/>
      </w:pPr>
      <w:r>
        <w:drawing>
          <wp:inline>
            <wp:extent cx="5753100" cy="4403829"/>
            <wp:effectExtent b="0" l="0" r="0" t="0"/>
            <wp:docPr descr="Figure 3: DPL phase moderation, pooled I-P effect by digital adoption epoch" title="" id="57" name="Picture"/>
            <a:graphic>
              <a:graphicData uri="http://schemas.openxmlformats.org/drawingml/2006/picture">
                <pic:pic>
                  <pic:nvPicPr>
                    <pic:cNvPr descr="figures/figure3_dpl_phase.png" id="58" name="Picture"/>
                    <pic:cNvPicPr>
                      <a:picLocks noChangeArrowheads="1" noChangeAspect="1"/>
                    </pic:cNvPicPr>
                  </pic:nvPicPr>
                  <pic:blipFill>
                    <a:blip r:embed="rId56"/>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pooled effects with 95% CI. Between-phase differences are small and non-significant.</w:t>
      </w:r>
    </w:p>
    <w:bookmarkEnd w:id="59"/>
    <w:bookmarkStart w:id="63"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CaptionedFigure"/>
      </w:pPr>
      <w:r>
        <w:drawing>
          <wp:inline>
            <wp:extent cx="5753100" cy="4601444"/>
            <wp:effectExtent b="0" l="0" r="0" t="0"/>
            <wp:docPr descr="Figure 4: Funnel plot with trim-and-fill imputed studies" title="" id="61" name="Picture"/>
            <a:graphic>
              <a:graphicData uri="http://schemas.openxmlformats.org/drawingml/2006/picture">
                <pic:pic>
                  <pic:nvPicPr>
                    <pic:cNvPr descr="figures/figure4_funnel_plot.png" id="62" name="Picture"/>
                    <pic:cNvPicPr>
                      <a:picLocks noChangeArrowheads="1" noChangeAspect="1"/>
                    </pic:cNvPicPr>
                  </pic:nvPicPr>
                  <pic:blipFill>
                    <a:blip r:embed="rId60"/>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4: Funnel plot with trim-and-fill imputed studies</w:t>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3"/>
    <w:bookmarkStart w:id="67" w:name="robustness"/>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CaptionedFigure"/>
      </w:pPr>
      <w:r>
        <w:drawing>
          <wp:inline>
            <wp:extent cx="5753100" cy="2528953"/>
            <wp:effectExtent b="0" l="0" r="0" t="0"/>
            <wp:docPr descr="Figure 5: Leave-one-out sensitivity, pooled r̄ range across leave-one-out iterations" title="" id="65" name="Picture"/>
            <a:graphic>
              <a:graphicData uri="http://schemas.openxmlformats.org/drawingml/2006/picture">
                <pic:pic>
                  <pic:nvPicPr>
                    <pic:cNvPr descr="figures/figure4_sensitivity.png" id="66" name="Picture"/>
                    <pic:cNvPicPr>
                      <a:picLocks noChangeArrowheads="1" noChangeAspect="1"/>
                    </pic:cNvPicPr>
                  </pic:nvPicPr>
                  <pic:blipFill>
                    <a:blip r:embed="rId64"/>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5: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7"/>
    <w:bookmarkEnd w:id="68"/>
    <w:bookmarkStart w:id="73" w:name="discussion"/>
    <w:p>
      <w:pPr>
        <w:pStyle w:val="Heading2"/>
      </w:pPr>
      <w:r>
        <w:t xml:space="preserve">5. Discussion</w:t>
      </w:r>
    </w:p>
    <w:bookmarkStart w:id="69"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9"/>
    <w:bookmarkStart w:id="70" w:name="theoretical-contributions"/>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0"/>
    <w:bookmarkStart w:id="71" w:name="managerial-and-policy-implications"/>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1"/>
    <w:bookmarkStart w:id="72"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2"/>
    <w:bookmarkEnd w:id="73"/>
    <w:bookmarkStart w:id="74" w:name="conclusion"/>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4"/>
    <w:bookmarkStart w:id="7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5"/>
    <w:bookmarkStart w:id="76" w:name="competing-interests"/>
    <w:p>
      <w:pPr>
        <w:pStyle w:val="Heading2"/>
      </w:pPr>
      <w:r>
        <w:t xml:space="preserve">Competing Interests</w:t>
      </w:r>
    </w:p>
    <w:p>
      <w:pPr>
        <w:pStyle w:val="FirstParagraph"/>
      </w:pPr>
      <w:r>
        <w:t xml:space="preserve">The authors declare no conflict of interest.</w:t>
      </w:r>
    </w:p>
    <w:bookmarkEnd w:id="76"/>
    <w:bookmarkStart w:id="77"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7"/>
    <w:bookmarkStart w:id="78"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8"/>
    <w:bookmarkStart w:id="79"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(https://osf.io/z37kn).</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(https://osf.io/z37kn).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2026-05-31T00:11:50Z</dcterms:created>
  <dcterms:modified xsi:type="dcterms:W3CDTF">2026-05-31T00:11:50Z</dcterms:modified>
</cp:coreProperties>
</file>

<file path=docProps/custom.xml><?xml version="1.0" encoding="utf-8"?>
<Properties xmlns="http://schemas.openxmlformats.org/officeDocument/2006/custom-properties" xmlns:vt="http://schemas.openxmlformats.org/officeDocument/2006/docPropsVTypes"/>
</file>