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6.png" ContentType="image/png"/>
  <Override PartName="/word/media/rId60.png" ContentType="image/png"/>
  <Override PartName="/word/media/rId64.png" ContentType="image/png"/>
  <Override PartName="/word/media/rId46.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bCs/>
          <w:b/>
        </w:rPr>
        <w:t xml:space="preserve">Đỗ Thị Thúy Hương</w:t>
      </w:r>
      <w:r>
        <w:t xml:space="preserve">, Trường Đại học Cần Thơ / Huong Do Thi Thuy</w:t>
      </w:r>
      <w:r>
        <w:t xml:space="preserve"> </w:t>
      </w:r>
      <w:r>
        <w:rPr>
          <w:bCs/>
          <w:b/>
        </w:rPr>
        <w:t xml:space="preserve">Phan Anh Tú</w:t>
      </w:r>
      <w:r>
        <w:t xml:space="preserve">, Trường Đại học Cần Thơ</w:t>
      </w:r>
    </w:p>
    <w:p>
      <w:pPr>
        <w:pStyle w:val="BodyText"/>
      </w:pPr>
      <w:r>
        <w:rPr>
          <w:iCs/>
          <w:i/>
        </w:rPr>
        <w:t xml:space="preserve">Bản thảo chuẩn bị nộp: Management International Review (MIR; Springer, Scopus Q1, ABS-3)</w:t>
      </w:r>
      <w:r>
        <w:t xml:space="preserve"> </w:t>
      </w:r>
      <w:r>
        <w:rPr>
          <w:iCs/>
          <w:i/>
        </w:rPr>
        <w:t xml:space="preserve">Phiên bản 1.3, tháng 5/2026 (mục tiêu nộp tạp chí: Q3 2026; v1.3 đồng bộ với các sửa chữa adversarial-review)</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Phân tích tổng hợp hồi quy ba cấp (MARA) đầu tiên về quan hệ quốc tế hóa–hiệu quả (I-P) nhằm kiểm định liệu áp dụng số cấp quốc gia (cDAI), chế độ bối cảnh thể chế (ICRV), và giai đoạn Vòng đời Nghịch lý Số (DPL) có điều tiết quan hệ này trên một corpus đa dạng địa lý hay không.</w:t>
      </w:r>
    </w:p>
    <w:p>
      <w:pPr>
        <w:pStyle w:val="BodyText"/>
      </w:pPr>
      <w:r>
        <w:rPr>
          <w:bCs/>
          <w:b/>
        </w:rPr>
        <w:t xml:space="preserve">Thiết kế/phương pháp/cách tiếp cận.</w:t>
      </w:r>
      <w:r>
        <w:t xml:space="preserve"> </w:t>
      </w:r>
      <w:r>
        <w:t xml:space="preserve">Tuân theo PRISMA 2020, truy ngược–truy xuôi trích dẫn của năm meta-analysis neo cùng hand-search đã tập hợp corpus phân tích</w:t>
      </w:r>
      <w:r>
        <w:t xml:space="preserve"> </w:t>
      </w:r>
      <w:r>
        <w:rPr>
          <w:iCs/>
          <w:i/>
        </w:rPr>
        <w:t xml:space="preserve">k</w:t>
      </w:r>
      <w:r>
        <w:t xml:space="preserve"> </w:t>
      </w:r>
      <w:r>
        <w:t xml:space="preserve">= 238 nghiên cứu và</w:t>
      </w:r>
      <w:r>
        <w:t xml:space="preserve"> </w:t>
      </w:r>
      <w:r>
        <w:rPr>
          <w:iCs/>
          <w:i/>
        </w:rPr>
        <w:t xml:space="preserve">K</w:t>
      </w:r>
      <w:r>
        <w:t xml:space="preserve"> </w:t>
      </w:r>
      <w:r>
        <w:t xml:space="preserve">= 288 cỡ hiệu ứng từ 49 nền kinh tế. MARA ba cấp qua gói</w:t>
      </w:r>
      <w:r>
        <w:t xml:space="preserve"> </w:t>
      </w:r>
      <w:r>
        <w:rPr>
          <w:iCs/>
          <w:i/>
        </w:rPr>
        <w:t xml:space="preserve">metafor</w:t>
      </w:r>
      <w:r>
        <w:t xml:space="preserve"> </w:t>
      </w:r>
      <w:r>
        <w:t xml:space="preserve">phân tách dị biệt trong và giữa nghiên cứu, với tiền đăng ký trên OSF.</w:t>
      </w:r>
    </w:p>
    <w:p>
      <w:pPr>
        <w:pStyle w:val="BodyText"/>
      </w:pPr>
      <w:r>
        <w:rPr>
          <w:bCs/>
          <w:b/>
        </w:rPr>
        <w:t xml:space="preserve">Kết quả chính.</w:t>
      </w:r>
      <w:r>
        <w:t xml:space="preserve"> </w:t>
      </w:r>
      <w:r>
        <w:t xml:space="preserve">Hiệu ứng tổng hợp</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Omnibus ICRV trên toàn mẫu có ý nghĩa (</w:t>
      </w:r>
      <w:r>
        <w:rPr>
          <w:iCs/>
          <w:i/>
        </w:rPr>
        <w:t xml:space="preserve">Q</w:t>
      </w:r>
      <w:r>
        <w:t xml:space="preserve">_M = 17.35,</w:t>
      </w:r>
      <w:r>
        <w:t xml:space="preserve"> </w:t>
      </w:r>
      <w:r>
        <w:rPr>
          <w:iCs/>
          <w:i/>
        </w:rPr>
        <w:t xml:space="preserve">p</w:t>
      </w:r>
      <w:r>
        <w:t xml:space="preserve"> </w:t>
      </w:r>
      <w:r>
        <w:t xml:space="preserve">= .002) nhưng không bền vững: drop-Frontier đưa về</w:t>
      </w:r>
      <w:r>
        <w:t xml:space="preserve"> </w:t>
      </w:r>
      <w:r>
        <w:rPr>
          <w:iCs/>
          <w:i/>
        </w:rPr>
        <w:t xml:space="preserve">Q</w:t>
      </w:r>
      <w:r>
        <w:t xml:space="preserve">_M = 1.49 (</w:t>
      </w:r>
      <w:r>
        <w:rPr>
          <w:iCs/>
          <w:i/>
        </w:rPr>
        <w:t xml:space="preserve">p</w:t>
      </w:r>
      <w:r>
        <w:t xml:space="preserve"> </w:t>
      </w:r>
      <w:r>
        <w:t xml:space="preserve">= .68); cDAI và DPL không có ý nghĩa. Trim-and-fill ước lệ</w:t>
      </w:r>
      <w:r>
        <w:t xml:space="preserve"> </w:t>
      </w:r>
      <w:r>
        <w:rPr>
          <w:iCs/>
          <w:i/>
        </w:rPr>
        <w:t xml:space="preserve">k</w:t>
      </w:r>
      <w:r>
        <w:t xml:space="preserve"> </w:t>
      </w:r>
      <w:r>
        <w:t xml:space="preserve">= 58 nghiên cứu thiếu, cắt</w:t>
      </w:r>
      <w:r>
        <w:t xml:space="preserve"> </w:t>
      </w:r>
      <w:r>
        <w:rPr>
          <w:iCs/>
          <w:i/>
        </w:rPr>
        <w:t xml:space="preserve">r</w:t>
      </w:r>
      <w:r>
        <w:t xml:space="preserve"> </w:t>
      </w:r>
      <w:r>
        <w:t xml:space="preserve">xuống .035 — suy giảm khoảng 53% (Begg</w:t>
      </w:r>
      <w:r>
        <w:t xml:space="preserve"> </w:t>
      </w:r>
      <w:r>
        <w:rPr>
          <w:iCs/>
          <w:i/>
        </w:rPr>
        <w:t xml:space="preserve">p</w:t>
      </w:r>
      <w:r>
        <w:t xml:space="preserve"> </w:t>
      </w:r>
      <w:r>
        <w:t xml:space="preserve">&lt; .001).</w:t>
      </w:r>
    </w:p>
    <w:p>
      <w:pPr>
        <w:pStyle w:val="BodyText"/>
      </w:pPr>
      <w:r>
        <w:rPr>
          <w:bCs/>
          <w:b/>
        </w:rPr>
        <w:t xml:space="preserve">Tính nguyên gốc/giá trị.</w:t>
      </w:r>
      <w:r>
        <w:t xml:space="preserve"> </w:t>
      </w:r>
      <w:r>
        <w:t xml:space="preserve">MARA ba cấp đầu tiên và kiểm định meta-analytic tiền đăng ký đầu tiên về cDAI/ICRV/DPL trong tài liệu I-P; lượng hóa hệ thống đầu tiên về mức suy giảm do thiên lệch công bố trong cơ sở bằng chứng 40 năm này.</w:t>
      </w:r>
    </w:p>
    <w:p>
      <w:pPr>
        <w:pStyle w:val="BodyText"/>
      </w:pPr>
      <w:r>
        <w:rPr>
          <w:bCs/>
          <w:b/>
        </w:rPr>
        <w:t xml:space="preserve">Từ khóa:</w:t>
      </w:r>
      <w:r>
        <w:t xml:space="preserve"> </w:t>
      </w:r>
      <w:r>
        <w:t xml:space="preserve">quan hệ quốc tế hóa–hiệu quả;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giới-thiệu"/>
    <w:p>
      <w:pPr>
        <w:pStyle w:val="Heading2"/>
      </w:pPr>
      <w:r>
        <w:t xml:space="preserve">1. Giới thiệu</w:t>
      </w:r>
    </w:p>
    <w:p>
      <w:pPr>
        <w:pStyle w:val="FirstParagraph"/>
      </w:pPr>
      <w:r>
        <w:t xml:space="preserve">Quan hệ giữa mức độ quốc tế hóa của doanh nghiệp và hiệu quả hoạt động kinh doanh của doanh nghiệp đó,</w:t>
      </w:r>
      <w:r>
        <w:t xml:space="preserve"> </w:t>
      </w:r>
      <w:r>
        <w:t xml:space="preserve">“</w:t>
      </w:r>
      <w:r>
        <w:t xml:space="preserve">quan hệ I-P</w:t>
      </w:r>
      <w:r>
        <w:t xml:space="preserve">”</w:t>
      </w:r>
      <w:r>
        <w:t xml:space="preserve">,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w:t>
      </w:r>
      <w:r>
        <w:t xml:space="preserve">“</w:t>
      </w:r>
      <w:r>
        <w:t xml:space="preserve">phép loại suy động cơ</w:t>
      </w:r>
      <w:r>
        <w:t xml:space="preserve">”</w:t>
      </w:r>
      <w:r>
        <w:t xml:space="preserve"> </w:t>
      </w:r>
      <w:r>
        <w:t xml:space="preserve">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tuân thủ PRISMA 2020 kèm tiền đăng ký OSF cho chủ đề này.</w:t>
      </w:r>
      <w:r>
        <w:t xml:space="preserve"> </w:t>
      </w:r>
      <w:r>
        <w:rPr>
          <w:iCs/>
          <w:i/>
        </w:rPr>
        <w:t xml:space="preserve">Về lý thuyết</w:t>
      </w:r>
      <w:r>
        <w:t xml:space="preserve">: (3) kiểm định meta-analytic chính thức đầu tiên về ICRV 6 chế độ, cDAI cấp quốc gia, và giai đoạn DPL với vai trò biến điều tiết trên corpus 49 nền kinh tế đa dạng địa lý (nghiêng về Tiên tiến).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khung-lý-thuyết-và-hệ-giả-thuyết"/>
    <w:p>
      <w:pPr>
        <w:pStyle w:val="Heading2"/>
      </w:pPr>
      <w:r>
        <w:t xml:space="preserve">2. Khung lý thuyết và hệ giả thuyết</w:t>
      </w:r>
    </w:p>
    <w:bookmarkStart w:id="22" w:name="các-lý-thuyết-nền-tảng"/>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w:t>
      </w:r>
      <w:r>
        <w:t xml:space="preserve"> </w:t>
      </w:r>
      <w:r>
        <w:t xml:space="preserve">“</w:t>
      </w:r>
      <w:r>
        <w:t xml:space="preserve">luật chơi</w:t>
      </w:r>
      <w:r>
        <w:t xml:space="preserve">”</w:t>
      </w:r>
      <w:r>
        <w:t xml:space="preserve"> </w:t>
      </w:r>
      <w:r>
        <w:t xml:space="preserve">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0c45e589f541b4918605db5b5d500676e91d7f1"/>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vòng-đời-nghịch-lý-số-dpl"/>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cdai-với-vai-trò-khuếch-đại"/>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thiên-lệch-công-bố-như-giả-thuyết-không"/>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mô-hình-khái-niệm"/>
    <w:p>
      <w:pPr>
        <w:pStyle w:val="Heading3"/>
      </w:pPr>
      <w:r>
        <w:t xml:space="preserve">2.6 Mô hình khái niệm</w:t>
      </w:r>
    </w:p>
    <w:p>
      <w:pPr>
        <w:pStyle w:val="CaptionedFigure"/>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Hình 1: Mô hình khái niệm, MARA ba cấp với ICRV, cDAI và các biến điều tiết DPL</w:t>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5" w:name="phương-pháp"/>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2" w:name="Xd08c506cb89a65002477e5fc573819baf127acb"/>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 https://osf.io/z37kn (DOI: 10.17605/OSF.IO/Z37KN; đăng ký ngày 18/5/2026).</w:t>
      </w:r>
    </w:p>
    <w:p>
      <w:pPr>
        <w:pStyle w:val="BodyText"/>
      </w:pPr>
      <w:r>
        <w:rPr>
          <w:bCs/>
          <w:b/>
        </w:rPr>
        <w:t xml:space="preserve">Sai lệch so với tiền đăng ký (PRISMA 2020, Mục 24c).</w:t>
      </w:r>
      <w:r>
        <w:t xml:space="preserve"> </w:t>
      </w:r>
      <w:r>
        <w:t xml:space="preserve">Năm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w:t>
      </w:r>
      <w:r>
        <w:t xml:space="preserve"> </w:t>
      </w:r>
      <w:r>
        <w:rPr>
          <w:bCs/>
          <w:b/>
        </w:rPr>
        <w:t xml:space="preserve">Thứ năm</w:t>
      </w:r>
      <w:r>
        <w:t xml:space="preserve">, kiểm định nhạy cảm drop-Frontier trên ICRV (báo cáo §4.3) và việc hạn chế construct-validity của moderation cDAI ở mẫu phụ Span+Follow (báo cáo §4.4) được bổ sung khi nhận thấy đặc điểm dữ liệu trong giai đoạn phân tích; cả hai được trình bày song song với các kiểm định tiền đăng ký toàn mẫu để minh bạch, với các kiểm định post-hoc được diễn giải như chẩn đoán xác nhận chứ không phải phát hiện chính. Codebook trích xuất đi kèm dữ liệu (v1.1) ghi lại mã hóa thực tế áp dụng; phương án v1.0 đã đăng ký vẫn được giữ trong bản ghi OSF đóng băng.</w:t>
      </w:r>
    </w:p>
    <w:bookmarkEnd w:id="32"/>
    <w:bookmarkStart w:id="36" w:name="Xa76020144cecd9204282889bbcb5462fa7d8477"/>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CaptionedFigure"/>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4" name="Picture"/>
            <a:graphic>
              <a:graphicData uri="http://schemas.openxmlformats.org/drawingml/2006/picture">
                <pic:pic>
                  <pic:nvPicPr>
                    <pic:cNvPr descr="figures/figure_prisma_2020_flow.png" id="35" name="Picture"/>
                    <pic:cNvPicPr>
                      <a:picLocks noChangeArrowheads="1" noChangeAspect="1"/>
                    </pic:cNvPicPr>
                  </pic:nvPicPr>
                  <pic:blipFill>
                    <a:blip r:embed="rId33"/>
                    <a:stretch>
                      <a:fillRect/>
                    </a:stretch>
                  </pic:blipFill>
                  <pic:spPr bwMode="auto">
                    <a:xfrm>
                      <a:off x="0" y="0"/>
                      <a:ext cx="5753100" cy="7273882"/>
                    </a:xfrm>
                    <a:prstGeom prst="rect">
                      <a:avLst/>
                    </a:prstGeom>
                    <a:noFill/>
                    <a:ln w="9525">
                      <a:noFill/>
                      <a:headEnd/>
                      <a:tailEnd/>
                    </a:ln>
                  </pic:spPr>
                </pic:pic>
              </a:graphicData>
            </a:graphic>
          </wp:inline>
        </w:drawing>
      </w:r>
    </w:p>
    <w:p>
      <w:pPr>
        <w:pStyle w:val="ImageCaption"/>
      </w:pPr>
      <w:r>
        <w:t xml:space="preserve">Hình 7. Lưu đồ PRISMA 2020 hai đường. Đường A (trái, xanh):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hoàn tất. Đường B (phải, cam-hổ phách): mở rộng WoS + Scopus chính thức, 547 bản ghi chờ trích xuất toàn văn. Corpus phân tích cuối cùng chỉ gom vào Đường A ở bản build hiện tại.</w:t>
      </w:r>
    </w:p>
    <w:bookmarkEnd w:id="36"/>
    <w:bookmarkStart w:id="40" w:name="trích-xuất-dữ-liệu-và-đảm-bảo-chất-lượng"/>
    <w:p>
      <w:pPr>
        <w:pStyle w:val="Heading3"/>
      </w:pPr>
      <w:r>
        <w:t xml:space="preserve">3.3 Trích xuất dữ liệu và đảm bảo chất lượng</w:t>
      </w:r>
    </w:p>
    <w:bookmarkStart w:id="37" w:name="giao-thức-trích-xuất-cỡ-hiệu-ứng"/>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tác giả thứ nhất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7"/>
    <w:bookmarkStart w:id="38" w:name="chất-lượng-mã-hóa-và-xác-minh"/>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8"/>
    <w:bookmarkStart w:id="39" w:name="rủi-ro-thiên-lệch-cấp-nghiên-cứu"/>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39"/>
    <w:bookmarkEnd w:id="40"/>
    <w:bookmarkStart w:id="41" w:name="giao-thức-mã-hóa-biến-điều-tiết"/>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r>
        <w:t xml:space="preserve"> </w:t>
      </w:r>
      <w:r>
        <w:t xml:space="preserve">1.</w:t>
      </w:r>
      <w:r>
        <w:t xml:space="preserve"> </w:t>
      </w:r>
      <w:r>
        <w:rPr>
          <w:iCs/>
          <w:i/>
        </w:rPr>
        <w:t xml:space="preserve">Quốc gia xuất xứ</w:t>
      </w:r>
      <w:r>
        <w:t xml:space="preserve">, mã ISO 3166-1 alpha-3; các nghiên cứu đa quốc gia mã hóa</w:t>
      </w:r>
      <w:r>
        <w:t xml:space="preserve"> </w:t>
      </w:r>
      <w:r>
        <w:t xml:space="preserve">“</w:t>
      </w:r>
      <w:r>
        <w:t xml:space="preserve">pooled</w:t>
      </w:r>
      <w:r>
        <w:t xml:space="preserve">”</w:t>
      </w:r>
      <w:r>
        <w:t xml:space="preserve"> </w:t>
      </w:r>
      <w:r>
        <w:t xml:space="preserve">với chế độ ICRV gán cho quốc gia chiếm đa số nếu một quốc gia đóng góp</w:t>
      </w:r>
      <w:r>
        <w:t xml:space="preserve"> </w:t>
      </w:r>
      <m:oMath>
        <m:r>
          <m:rPr>
            <m:sty m:val="p"/>
          </m:rPr>
          <m:t>≥</m:t>
        </m:r>
      </m:oMath>
      <w:r>
        <w:t xml:space="preserve"> </w:t>
      </w:r>
      <w:r>
        <w:t xml:space="preserve">60% của mẫu, ngược lại mã hóa</w:t>
      </w:r>
      <w:r>
        <w:t xml:space="preserve"> </w:t>
      </w:r>
      <w:r>
        <w:t xml:space="preserve">“</w:t>
      </w:r>
      <w:r>
        <w:t xml:space="preserve">cross-regime</w:t>
      </w:r>
      <w:r>
        <w:t xml:space="preserve">”</w:t>
      </w:r>
      <w:r>
        <w:t xml:space="preserve"> </w:t>
      </w:r>
      <w:r>
        <w:t xml:space="preserve">2.</w:t>
      </w:r>
      <w:r>
        <w:t xml:space="preserve"> </w:t>
      </w:r>
      <w:r>
        <w:rPr>
          <w:iCs/>
          <w:i/>
        </w:rPr>
        <w:t xml:space="preserve">Khu vực ngành</w:t>
      </w:r>
      <w:r>
        <w:t xml:space="preserve">, phân khu SIC rộng: sản xuất (SIC 20–39), dịch vụ (SIC 40–89), hoặc hỗn hợp/không xác định</w:t>
      </w:r>
      <w:r>
        <w:t xml:space="preserve"> </w:t>
      </w:r>
      <w:r>
        <w:t xml:space="preserve">3.</w:t>
      </w:r>
      <w:r>
        <w:t xml:space="preserve"> </w:t>
      </w: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r>
        <w:t xml:space="preserve"> </w:t>
      </w:r>
      <w:r>
        <w:t xml:space="preserve">4.</w:t>
      </w:r>
      <w:r>
        <w:t xml:space="preserve"> </w:t>
      </w: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BodyText"/>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w:t>
      </w:r>
      <w:r>
        <w:t xml:space="preserve"> </w:t>
      </w:r>
      <w:r>
        <w:t xml:space="preserve">“</w:t>
      </w:r>
      <w:r>
        <w:t xml:space="preserve">Precede</w:t>
      </w:r>
      <w:r>
        <w:t xml:space="preserve">”</w:t>
      </w:r>
      <w:r>
        <w:t xml:space="preserve"> </w:t>
      </w:r>
      <w:r>
        <w:t xml:space="preserve">(trung vị</w:t>
      </w:r>
      <w:r>
        <w:t xml:space="preserve"> </w:t>
      </w:r>
      <m:oMath>
        <m:r>
          <m:rPr>
            <m:sty m:val="p"/>
          </m:rPr>
          <m:t>≤</m:t>
        </m:r>
      </m:oMath>
      <w:r>
        <w:t xml:space="preserve"> </w:t>
      </w:r>
      <w:r>
        <w:t xml:space="preserve">2008),</w:t>
      </w:r>
      <w:r>
        <w:t xml:space="preserve"> </w:t>
      </w:r>
      <w:r>
        <w:t xml:space="preserve">“</w:t>
      </w:r>
      <w:r>
        <w:t xml:space="preserve">Span</w:t>
      </w:r>
      <w:r>
        <w:t xml:space="preserve">”</w:t>
      </w:r>
      <w:r>
        <w:t xml:space="preserve"> </w:t>
      </w:r>
      <w:r>
        <w:t xml:space="preserve">(trung vị 2009–2013),</w:t>
      </w:r>
      <w:r>
        <w:t xml:space="preserve"> </w:t>
      </w:r>
      <w:r>
        <w:t xml:space="preserve">“</w:t>
      </w:r>
      <w:r>
        <w:t xml:space="preserve">Follow</w:t>
      </w:r>
      <w:r>
        <w:t xml:space="preserve">”</w:t>
      </w:r>
      <w:r>
        <w:t xml:space="preserve"> </w:t>
      </w:r>
      <w:r>
        <w:t xml:space="preserve">(trung vị</w:t>
      </w:r>
      <w:r>
        <w:t xml:space="preserve"> </w:t>
      </w:r>
      <m:oMath>
        <m:r>
          <m:rPr>
            <m:sty m:val="p"/>
          </m:rPr>
          <m:t>≥</m:t>
        </m:r>
      </m:oMath>
      <w:r>
        <w:t xml:space="preserve"> </w:t>
      </w:r>
      <w:r>
        <w:t xml:space="preserve">2014). Các nghiên cứu mà năm dữ liệu không xác định được từ bài viết được mã hóa</w:t>
      </w:r>
      <w:r>
        <w:t xml:space="preserve"> </w:t>
      </w:r>
      <w:r>
        <w:t xml:space="preserve">“</w:t>
      </w:r>
      <w:r>
        <w:t xml:space="preserve">Span</w:t>
      </w:r>
      <w:r>
        <w:t xml:space="preserve">”</w:t>
      </w:r>
      <w:r>
        <w:t xml:space="preserve"> </w:t>
      </w:r>
      <w:r>
        <w:t xml:space="preserve">mặc định và đánh dấu.</w:t>
      </w:r>
    </w:p>
    <w:bookmarkEnd w:id="41"/>
    <w:bookmarkStart w:id="42" w:name="mô-hình-thống-kê-mara-ba-cấp"/>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2"/>
    <w:bookmarkStart w:id="43" w:name="đánh-giá-thiên-lệch-công-bố"/>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 Trim-and-fill được biết là hiệu chỉnh quá mức trong điều kiện dị biệt cao (Terrin et al., 2003); chúng tôi vì vậy diễn giải ước lượng đã hiệu chỉnh của nó như</w:t>
      </w:r>
      <w:r>
        <w:t xml:space="preserve"> </w:t>
      </w:r>
      <w:r>
        <w:rPr>
          <w:bCs/>
          <w:b/>
        </w:rPr>
        <w:t xml:space="preserve">giới hạn trên</w:t>
      </w:r>
      <w:r>
        <w:t xml:space="preserve"> </w:t>
      </w:r>
      <w:r>
        <w:t xml:space="preserve">(upper-bound) của mức suy giảm chứ không phải ước lượng điểm của hiệu ứng quần thể thực. Đặc tả kiểm định chi tiết trong</w:t>
      </w:r>
      <w:r>
        <w:t xml:space="preserve"> </w:t>
      </w:r>
      <w:r>
        <w:rPr>
          <w:bCs/>
          <w:b/>
        </w:rPr>
        <w:t xml:space="preserve">Supp-M</w:t>
      </w:r>
      <w:r>
        <w:t xml:space="preserve">.</w:t>
      </w:r>
    </w:p>
    <w:bookmarkEnd w:id="43"/>
    <w:bookmarkStart w:id="44" w:name="kiểm-tra-tính-vững"/>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4"/>
    <w:bookmarkEnd w:id="45"/>
    <w:bookmarkStart w:id="68" w:name="kết-quả"/>
    <w:p>
      <w:pPr>
        <w:pStyle w:val="Heading2"/>
      </w:pPr>
      <w:r>
        <w:t xml:space="preserve">4. Kết quả</w:t>
      </w:r>
    </w:p>
    <w:bookmarkStart w:id="49" w:name="mô-tả-mẫu"/>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t xml:space="preserve">K* = 288 cỡ hiệu ứng,</w:t>
      </w:r>
      <w:r>
        <w:t xml:space="preserve"> </w:t>
      </w:r>
      <w:r>
        <w:rPr>
          <w:iCs/>
          <w:i/>
        </w:rPr>
        <w:t xml:space="preserve">k</w:t>
      </w:r>
      <w:r>
        <w:t xml:space="preserve"> </w:t>
      </w:r>
      <w:r>
        <w:t xml:space="preserve">= 238 nghiên cứu đã mã hóa)*</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CaptionedFigure"/>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7" name="Picture"/>
            <a:graphic>
              <a:graphicData uri="http://schemas.openxmlformats.org/drawingml/2006/picture">
                <pic:pic>
                  <pic:nvPicPr>
                    <pic:cNvPr descr="figures/figure6_year_distribution.png" id="48" name="Picture"/>
                    <pic:cNvPicPr>
                      <a:picLocks noChangeArrowheads="1" noChangeAspect="1"/>
                    </pic:cNvPicPr>
                  </pic:nvPicPr>
                  <pic:blipFill>
                    <a:blip r:embed="rId46"/>
                    <a:stretch>
                      <a:fillRect/>
                    </a:stretch>
                  </pic:blipFill>
                  <pic:spPr bwMode="auto">
                    <a:xfrm>
                      <a:off x="0" y="0"/>
                      <a:ext cx="5753100" cy="2547026"/>
                    </a:xfrm>
                    <a:prstGeom prst="rect">
                      <a:avLst/>
                    </a:prstGeom>
                    <a:noFill/>
                    <a:ln w="9525">
                      <a:noFill/>
                      <a:headEnd/>
                      <a:tailEnd/>
                    </a:ln>
                  </pic:spPr>
                </pic:pic>
              </a:graphicData>
            </a:graphic>
          </wp:inline>
        </w:drawing>
      </w:r>
    </w:p>
    <w:p>
      <w:pPr>
        <w:pStyle w:val="ImageCaption"/>
      </w:pPr>
      <w:r>
        <w:t xml:space="preserve">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w:t>
      </w:r>
    </w:p>
    <w:bookmarkEnd w:id="49"/>
    <w:bookmarkStart w:id="50" w:name="mô-hình-ba-cấp-cơ-sở"/>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0"/>
    <w:bookmarkStart w:id="54" w:name="điều-tiết-chế-độ-icrv-h1"/>
    <w:p>
      <w:pPr>
        <w:pStyle w:val="Heading3"/>
      </w:pPr>
      <w:r>
        <w:t xml:space="preserve">4.3 Điều tiết chế độ ICRV (H1)</w:t>
      </w:r>
    </w:p>
    <w:p>
      <w:pPr>
        <w:pStyle w:val="FirstParagraph"/>
      </w:pPr>
      <w:r>
        <w:rPr>
          <w:bCs/>
          <w:b/>
        </w:rPr>
        <w:t xml:space="preserve">H1 không được ủng hộ vững chắc.</w:t>
      </w:r>
      <w:r>
        <w:t xml:space="preserve"> </w:t>
      </w:r>
      <w:r>
        <w:t xml:space="preserve">Kiểm định tiền đăng ký giữa các chế độ trên bốn chế độ lõi đông dữ liệu (I/II/III/MX,</w:t>
      </w:r>
      <w:r>
        <w:t xml:space="preserve"> </w:t>
      </w:r>
      <w:r>
        <w:rPr>
          <w:iCs/>
          <w:i/>
        </w:rPr>
        <w:t xml:space="preserve">K</w:t>
      </w:r>
      <w:r>
        <w:t xml:space="preserve"> </w:t>
      </w:r>
      <w:r>
        <w:t xml:space="preserve">= 285) cho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báo cáo dưới đây. Omnibus toàn mẫu bao gồm cả ô Frontier ba hiệu ứng đạt ý nghĩa thống kê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như bảng phụ nhóm cho thấy rõ kết quả này được tạo ra gần như hoàn toàn bởi ô Frontier chứ không phải bởi một gradient thể chế đơn điệu. Các Đề xuất Khám phá định hướng E1a (Tiên tiến lớn nhất) và E1b (Frontier nhỏ nhất)</w:t>
      </w:r>
      <w:r>
        <w:t xml:space="preserve"> </w:t>
      </w:r>
      <w:r>
        <w:rPr>
          <w:bCs/>
          <w:b/>
        </w:rPr>
        <w:t xml:space="preserve">không</w:t>
      </w:r>
      <w:r>
        <w:t xml:space="preserve"> </w:t>
      </w:r>
      <w:r>
        <w:t xml:space="preserve">được ủng hộ.</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Hình 2: Biểu đồ rừng chế độ ICRV, các hiệu ứng tổng hợp phụ nhóm với 95% CI" title="" id="52" name="Picture"/>
            <a:graphic>
              <a:graphicData uri="http://schemas.openxmlformats.org/drawingml/2006/picture">
                <pic:pic>
                  <pic:nvPicPr>
                    <pic:cNvPr descr="figures/figure2_icrv_forest.png" id="53" name="Picture"/>
                    <pic:cNvPicPr>
                      <a:picLocks noChangeArrowheads="1" noChangeAspect="1"/>
                    </pic:cNvPicPr>
                  </pic:nvPicPr>
                  <pic:blipFill>
                    <a:blip r:embed="rId51"/>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Hình 2: Biểu đồ rừng chế độ ICRV, các hiệu ứng tổng hợp phụ nhóm với 95% CI</w:t>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4"/>
    <w:bookmarkStart w:id="55" w:name="điều-tiết-cdai-h3"/>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rPr>
          <w:bCs/>
          <w:b/>
        </w:rPr>
        <w:t xml:space="preserve">Rào đón construct-validity cho kiểm định toàn mẫu.</w:t>
      </w:r>
      <w:r>
        <w:t xml:space="preserve"> </w:t>
      </w:r>
      <w:r>
        <w:t xml:space="preserve">Điểm cDAI lấy từ Chỉ số Áp dụng Số của Ngân hàng Thế giới (phiên bản 2016) và Chỉ số Phát triển Số ITU (2017–2026); với các nghiên cứu giai đoạn Precede (năm dữ liệu trung vị ≤ 2008;</w:t>
      </w:r>
      <w:r>
        <w:t xml:space="preserve"> </w:t>
      </w:r>
      <w:r>
        <w:rPr>
          <w:iCs/>
          <w:i/>
        </w:rPr>
        <w:t xml:space="preserve">K</w:t>
      </w:r>
      <w:r>
        <w:t xml:space="preserve"> </w:t>
      </w:r>
      <w:r>
        <w:t xml:space="preserve">= 100) cDAI được chiếu ngược qua một giai đoạn mà construct áp dụng số chưa mô tả nền kinh tế quốc gia một cách hợp lệ. Mẫu phụ Span+Follow (</w:t>
      </w:r>
      <w:r>
        <w:rPr>
          <w:iCs/>
          <w:i/>
        </w:rPr>
        <w:t xml:space="preserve">K</w:t>
      </w:r>
      <w:r>
        <w:t xml:space="preserve"> </w:t>
      </w:r>
      <w:r>
        <w:t xml:space="preserve">≈ 188, năm dữ liệu trung vị ≥ 2009) là cửa sổ kiểm định construct-valid. Phân tích hạn chế mẫu phụ không cho thay đổi định tính trong suy luận H3, nhưng kiểm định đã hạn chế vẫn là đặc tả ưu tiên về mặt khái niệm và được báo cáo như kiểm tra nhạy cảm (</w:t>
      </w:r>
      <w:r>
        <w:rPr>
          <w:bCs/>
          <w:b/>
        </w:rPr>
        <w:t xml:space="preserve">Supp-T2</w:t>
      </w:r>
      <w:r>
        <w:t xml:space="preserve">). Chúng tôi giữ lại kết quả toàn mẫu làm headline chỉ vì tiền đăng ký đã chỉ định nó.</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5"/>
    <w:bookmarkStart w:id="59" w:name="điều-tiết-giai-đoạn-dpl-h2"/>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CaptionedFigure"/>
      </w:pPr>
      <w:r>
        <w:drawing>
          <wp:inline>
            <wp:extent cx="5753100" cy="4403829"/>
            <wp:effectExtent b="0" l="0" r="0" t="0"/>
            <wp:docPr descr="Hình 3: Điều tiết giai đoạn DPL, hiệu ứng I-P tổng hợp theo epoch áp dụng số" title="" id="57" name="Picture"/>
            <a:graphic>
              <a:graphicData uri="http://schemas.openxmlformats.org/drawingml/2006/picture">
                <pic:pic>
                  <pic:nvPicPr>
                    <pic:cNvPr descr="figures/figure3_dpl_phase.png" id="58" name="Picture"/>
                    <pic:cNvPicPr>
                      <a:picLocks noChangeArrowheads="1" noChangeAspect="1"/>
                    </pic:cNvPicPr>
                  </pic:nvPicPr>
                  <pic:blipFill>
                    <a:blip r:embed="rId56"/>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Hình 3: Điều tiết giai đoạn DPL, hiệu ứng I-P tổng hợp theo epoch áp dụng số</w:t>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59"/>
    <w:bookmarkStart w:id="63" w:name="thiên-lệch-công-bố-h4"/>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CaptionedFigure"/>
      </w:pPr>
      <w:r>
        <w:drawing>
          <wp:inline>
            <wp:extent cx="5753100" cy="4601444"/>
            <wp:effectExtent b="0" l="0" r="0" t="0"/>
            <wp:docPr descr="Hình 4: Biểu đồ phễu với các nghiên cứu ước lệ trim-and-fill" title="" id="61" name="Picture"/>
            <a:graphic>
              <a:graphicData uri="http://schemas.openxmlformats.org/drawingml/2006/picture">
                <pic:pic>
                  <pic:nvPicPr>
                    <pic:cNvPr descr="figures/figure4_funnel_plot.png" id="62" name="Picture"/>
                    <pic:cNvPicPr>
                      <a:picLocks noChangeArrowheads="1" noChangeAspect="1"/>
                    </pic:cNvPicPr>
                  </pic:nvPicPr>
                  <pic:blipFill>
                    <a:blip r:embed="rId60"/>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Hình 4: Biểu đồ phễu với các nghiên cứu ước lệ trim-and-fill</w:t>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3"/>
    <w:bookmarkStart w:id="67" w:name="tính-vững"/>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CaptionedFigure"/>
      </w:pPr>
      <w:r>
        <w:drawing>
          <wp:inline>
            <wp:extent cx="5753100" cy="2528953"/>
            <wp:effectExtent b="0" l="0" r="0" t="0"/>
            <wp:docPr descr="Hình 5: Nhạy cảm leave-one-out, khoảng r̄ tổng hợp qua các lần lặp leave-one-out" title="" id="65" name="Picture"/>
            <a:graphic>
              <a:graphicData uri="http://schemas.openxmlformats.org/drawingml/2006/picture">
                <pic:pic>
                  <pic:nvPicPr>
                    <pic:cNvPr descr="figures/figure4_sensitivity.png" id="66" name="Picture"/>
                    <pic:cNvPicPr>
                      <a:picLocks noChangeArrowheads="1" noChangeAspect="1"/>
                    </pic:cNvPicPr>
                  </pic:nvPicPr>
                  <pic:blipFill>
                    <a:blip r:embed="rId64"/>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Hình 5: Nhạy cảm leave-one-out, khoảng</w:t>
      </w:r>
      <w:r>
        <w:t xml:space="preserve"> </w:t>
      </w:r>
      <w:r>
        <w:rPr>
          <w:iCs/>
          <w:i/>
        </w:rPr>
        <w:t xml:space="preserve">r̄</w:t>
      </w:r>
      <w:r>
        <w:t xml:space="preserve"> </w:t>
      </w:r>
      <w:r>
        <w:t xml:space="preserve">tổng hợp qua các lần lặp leave-one-out</w:t>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7"/>
    <w:bookmarkEnd w:id="68"/>
    <w:bookmarkStart w:id="73" w:name="thảo-luận"/>
    <w:p>
      <w:pPr>
        <w:pStyle w:val="Heading2"/>
      </w:pPr>
      <w:r>
        <w:t xml:space="preserve">5. Thảo luận</w:t>
      </w:r>
    </w:p>
    <w:bookmarkStart w:id="69" w:name="khớp-với-bằng-chứng-cấp-quốc-gia"/>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(Do &amp; Phan, 2024).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Một phân tích nghiên cứu sơ cấp đồng hành bởi nhóm tác giả hiện tại (Do và Phan, 2025) trên 380 doanh nghiệp WBES Ấn Độ ghi nhận hệ số DOI tổng hợp âm với kinh nghiệm quản lý và lãnh đạo top-management nữ là các yếu tố điều tiết dương, một mẫu hình nhất quán với cách diễn giải nguồn-lực-bù-trừ-cấp-doanh-nghiệp được thảo luận trong §5.2; chúng tôi ghi nhận sự chồng lấp này để đánh dấu chứ không che giấu, mối liên kết với chương trình nghiên cứu sơ cấp rộng hơn của chúng tôi.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69"/>
    <w:bookmarkStart w:id="70" w:name="đóng-góp-lý-thuyết"/>
    <w:p>
      <w:pPr>
        <w:pStyle w:val="Heading3"/>
      </w:pPr>
      <w:r>
        <w:t xml:space="preserve">5.2 Đóng góp lý thuyết</w:t>
      </w:r>
    </w:p>
    <w:p>
      <w:pPr>
        <w:pStyle w:val="FirstParagraph"/>
      </w:pPr>
      <w:r>
        <w:rPr>
          <w:bCs/>
          <w:b/>
        </w:rPr>
        <w:t xml:space="preserve">Đóng góp 1: Phân tách dị biệt I-P ba cấp.</w:t>
      </w:r>
      <w:r>
        <w:t xml:space="preserve"> </w:t>
      </w:r>
      <w:r>
        <w:t xml:space="preserve">Mở rộng cơ sở châu Á-Thái Bình Dương ICBEF 2025 (</w:t>
      </w:r>
      <w:r>
        <w:rPr>
          <w:iCs/>
          <w:i/>
        </w:rPr>
        <w:t xml:space="preserve">k</w:t>
      </w:r>
      <w:r>
        <w:t xml:space="preserve"> </w:t>
      </w:r>
      <w:r>
        <w:t xml:space="preserve">= 113) lên</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MARA ba cấp phân chia đúng phương sai trong-nghiên-cứu và giữa-nghiên-cứu và cho thấy dị biệt thiết kế trong-nghiên-cứu (Cấp 2</w:t>
      </w:r>
      <w:r>
        <w:t xml:space="preserve"> </w:t>
      </w:r>
      <w:r>
        <w:rPr>
          <w:iCs/>
          <w:i/>
        </w:rPr>
        <w:t xml:space="preserve">I</w:t>
      </w:r>
      <w:r>
        <w:t xml:space="preserve">² = 76.1%) chiếm khoảng sáu lần phần đóng góp giữa các quốc gia (Cấp 3</w:t>
      </w:r>
      <w:r>
        <w:t xml:space="preserve"> </w:t>
      </w:r>
      <w:r>
        <w:rPr>
          <w:iCs/>
          <w:i/>
        </w:rPr>
        <w:t xml:space="preserve">I</w:t>
      </w:r>
      <w:r>
        <w:t xml:space="preserve">² = 11.8%). Cơ sở</w:t>
      </w:r>
      <w:r>
        <w:t xml:space="preserve"> </w:t>
      </w:r>
      <w:r>
        <w:rPr>
          <w:iCs/>
          <w:i/>
        </w:rPr>
        <w:t xml:space="preserve">r</w:t>
      </w:r>
      <w:r>
        <w:t xml:space="preserve"> </w:t>
      </w:r>
      <w:r>
        <w:t xml:space="preserve">= 0.074 tái lập các ước lượng trước và vững qua bảy kiểm tra nhạy cảm. Phát hiện điều tiết thể chế trước đó của Marano et al. (2016) vẫn là tham chiếu canonical; phân tích của chúng tôi không lật ngược nó mà bổ sung phân tách ba cấp và các kiểm định moderator chính thức dưới đây.</w:t>
      </w:r>
    </w:p>
    <w:p>
      <w:pPr>
        <w:pStyle w:val="BodyText"/>
      </w:pPr>
      <w:r>
        <w:rPr>
          <w:bCs/>
          <w:b/>
        </w:rPr>
        <w:t xml:space="preserve">Đóng góp 2: Kiểm định moderator tiền đăng ký về ICRV, cDAI và DPL.</w:t>
      </w:r>
      <w:r>
        <w:t xml:space="preserve"> </w:t>
      </w:r>
      <w:r>
        <w:t xml:space="preserve">Đây là kiểm định chính thức đầu tiên về ba moderator này trong một MARA ba cấp. Cả ba đều cho kết quả không có ý nghĩa hoặc yếu: chế độ lõi ICRV</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Các kết quả không có ý nghĩa này định nghĩa giới hạn có ý nghĩa lý thuyết chứ không xác nhận moderation thực chất: mẫu</w:t>
      </w:r>
      <w:r>
        <w:t xml:space="preserve"> </w:t>
      </w:r>
      <w:r>
        <w:rPr>
          <w:iCs/>
          <w:i/>
        </w:rPr>
        <w:t xml:space="preserve">k</w:t>
      </w:r>
      <w:r>
        <w:t xml:space="preserve"> </w:t>
      </w:r>
      <w:r>
        <w:t xml:space="preserve">= 238 thiếu biến thiên giữa các chế độ đủ trong các ô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Cách diễn giải</w:t>
      </w:r>
      <w:r>
        <w:t xml:space="preserve"> </w:t>
      </w:r>
      <w:r>
        <w:rPr>
          <w:iCs/>
          <w:i/>
        </w:rPr>
        <w:t xml:space="preserve">Bất tương thích Năng lực, Bối cảnh</w:t>
      </w:r>
      <w:r>
        <w:t xml:space="preserve"> </w:t>
      </w:r>
      <w:r>
        <w:t xml:space="preserve">(Capability-Context Mismatch) — rằng bối cảnh số vĩ mô là vô hiệu nếu thiếu năng lực số cấp doanh nghiệp để chuyển hóa nó — nhất quán với kết quả cDAI không có ý nghĩa, nhưng được đề xuất như một mệnh đề hậu nghiệm cho sao chép xác nhận chứ không phải phát hiện của nghiên cứu này.</w:t>
      </w:r>
    </w:p>
    <w:p>
      <w:pPr>
        <w:pStyle w:val="BodyText"/>
      </w:pPr>
      <w:r>
        <w:rPr>
          <w:bCs/>
          <w:b/>
        </w:rPr>
        <w:t xml:space="preserve">Đóng góp 3: Lượng hóa mức suy giảm do thiên lệch công bố.</w:t>
      </w:r>
      <w:r>
        <w:t xml:space="preserve"> </w:t>
      </w:r>
      <w:r>
        <w:t xml:space="preserve">Trim-and-fill ước lệ</w:t>
      </w:r>
      <w:r>
        <w:t xml:space="preserve"> </w:t>
      </w:r>
      <w:r>
        <w:rPr>
          <w:iCs/>
          <w:i/>
        </w:rPr>
        <w:t xml:space="preserve">k</w:t>
      </w:r>
      <w:r>
        <w:t xml:space="preserve"> </w:t>
      </w:r>
      <w:r>
        <w:t xml:space="preserve">= 58 nghiên cứu thiếu bên trái và cho</w:t>
      </w:r>
      <w:r>
        <w:t xml:space="preserve"> </w:t>
      </w:r>
      <w:r>
        <w:rPr>
          <w:iCs/>
          <w:i/>
        </w:rPr>
        <w:t xml:space="preserve">r</w:t>
      </w:r>
      <w:r>
        <w:t xml:space="preserve"> </w:t>
      </w:r>
      <w:r>
        <w:t xml:space="preserve">= 0.035 [.023, .048], mức suy giảm khoảng 53% so với</w:t>
      </w:r>
      <w:r>
        <w:t xml:space="preserve"> </w:t>
      </w:r>
      <w:r>
        <w:rPr>
          <w:iCs/>
          <w:i/>
        </w:rPr>
        <w:t xml:space="preserve">r</w:t>
      </w:r>
      <w:r>
        <w:t xml:space="preserve"> </w:t>
      </w:r>
      <w:r>
        <w:t xml:space="preserve">thô = 0.074; Begg’s</w:t>
      </w:r>
      <w:r>
        <w:t xml:space="preserve"> </w:t>
      </w:r>
      <m:oMath>
        <m:r>
          <m:t>τ</m:t>
        </m:r>
      </m:oMath>
      <w:r>
        <w:t xml:space="preserve"> </w:t>
      </w:r>
      <w:r>
        <w:t xml:space="preserve">có ý nghĩa (</w:t>
      </w:r>
      <w:r>
        <w:rPr>
          <w:iCs/>
          <w:i/>
        </w:rPr>
        <w:t xml:space="preserve">p</w:t>
      </w:r>
      <w:r>
        <w:t xml:space="preserve"> </w:t>
      </w:r>
      <w:r>
        <w:t xml:space="preserve">&lt; .001) và Egger’s</w:t>
      </w:r>
      <w:r>
        <w:t xml:space="preserve"> </w:t>
      </w:r>
      <w:r>
        <w:rPr>
          <w:iCs/>
          <w:i/>
        </w:rPr>
        <w:t xml:space="preserve">p</w:t>
      </w:r>
      <w:r>
        <w:t xml:space="preserve"> </w:t>
      </w:r>
      <w:r>
        <w:t xml:space="preserve">= .057 ở vùng ranh giới. Vì trim-and-fill được biết là hiệu chỉnh quá mức dưới điều kiện dị biệt cao (</w:t>
      </w:r>
      <w:r>
        <w:rPr>
          <w:iCs/>
          <w:i/>
        </w:rPr>
        <w:t xml:space="preserve">I</w:t>
      </w:r>
      <w:r>
        <w:t xml:space="preserve">² = 87.8% ở đây), chúng tôi diễn giải con số 53% như ước lượng</w:t>
      </w:r>
      <w:r>
        <w:t xml:space="preserve"> </w:t>
      </w:r>
      <w:r>
        <w:rPr>
          <w:bCs/>
          <w:b/>
        </w:rPr>
        <w:t xml:space="preserve">giới hạn trên</w:t>
      </w:r>
      <w:r>
        <w:t xml:space="preserve"> </w:t>
      </w:r>
      <w:r>
        <w:t xml:space="preserve">của mức phồng do chọn lọc chứ không phải ước lượng điểm.</w:t>
      </w:r>
    </w:p>
    <w:p>
      <w:pPr>
        <w:pStyle w:val="BodyText"/>
      </w:pPr>
      <w:r>
        <w:rPr>
          <w:bCs/>
          <w:b/>
        </w:rPr>
        <w:t xml:space="preserve">Một nghịch lý cấp lĩnh vực mà bài viết không giải quyết.</w:t>
      </w:r>
      <w:r>
        <w:t xml:space="preserve"> </w:t>
      </w:r>
      <w:r>
        <w:t xml:space="preserve">Ước lượng đã hiệu chỉnh thiên lệch (</w:t>
      </w:r>
      <w:r>
        <w:rPr>
          <w:iCs/>
          <w:i/>
        </w:rPr>
        <w:t xml:space="preserve">r</w:t>
      </w:r>
      <w:r>
        <w:t xml:space="preserve"> </w:t>
      </w:r>
      <w:r>
        <w:t xml:space="preserve">≈ .035, dưới ngưỡng</w:t>
      </w:r>
      <w:r>
        <w:t xml:space="preserve"> </w:t>
      </w:r>
      <w:r>
        <w:t xml:space="preserve">“</w:t>
      </w:r>
      <w:r>
        <w:t xml:space="preserve">nhỏ</w:t>
      </w:r>
      <w:r>
        <w:t xml:space="preserve">”</w:t>
      </w:r>
      <w:r>
        <w:t xml:space="preserve"> </w:t>
      </w:r>
      <w:r>
        <w:t xml:space="preserve">Cohen .10) đặt ra một câu hỏi nền tảng cho chương trình kiểm định moderator mà bài viết này thực hiện: nếu bốn thập kỷ bằng chứng I-P tích lũy bị phồng đáng kể bởi chọn lọc công bố, thì cả các phát hiện canonical chữ-U-ngược/I-P-dương mà phần lý thuyết kế thừa (Lu &amp; Beamish, 2004; Hitt et al., 1997; Marano et al., 2016) và mức hiệu ứng tối thiểu mà công lực moderator nên được hiệu chuẩn theo đều đặt trên nền tảng thực nghiệm mỏng hơn so với tài liệu thừa nhận. Hai hàm ý theo sau mà bài viết chỉ có thể surface, không giải quyết. Thứ nhất, phát hiện moderator giữa các nghiên cứu trong tài liệu này đòi hỏi công lực được hiệu chuẩn theo</w:t>
      </w:r>
      <w:r>
        <w:t xml:space="preserve"> </w:t>
      </w:r>
      <w:r>
        <w:rPr>
          <w:iCs/>
          <w:i/>
        </w:rPr>
        <w:t xml:space="preserve">r</w:t>
      </w:r>
      <w:r>
        <w:t xml:space="preserve"> </w:t>
      </w:r>
      <w:r>
        <w:t xml:space="preserve">≈ .035 thay vì</w:t>
      </w:r>
      <w:r>
        <w:t xml:space="preserve"> </w:t>
      </w:r>
      <w:r>
        <w:rPr>
          <w:iCs/>
          <w:i/>
        </w:rPr>
        <w:t xml:space="preserve">r</w:t>
      </w:r>
      <w:r>
        <w:t xml:space="preserve"> </w:t>
      </w:r>
      <w:r>
        <w:t xml:space="preserve">≈ .07–.10, làm tăng đáng kể ngưỡng</w:t>
      </w:r>
      <w:r>
        <w:t xml:space="preserve"> </w:t>
      </w:r>
      <w:r>
        <w:rPr>
          <w:iCs/>
          <w:i/>
        </w:rPr>
        <w:t xml:space="preserve">k</w:t>
      </w:r>
      <w:r>
        <w:t xml:space="preserve"> </w:t>
      </w:r>
      <w:r>
        <w:t xml:space="preserve">cho các kiểm định moderator có công lực đầy đủ vượt ra ngoài các corpus hiện tại. Thứ hai, các phân tích tổng hợp I-P tương lai nên báo cáo ước lượng tổng hợp đã hiệu chỉnh thiên lệch như suy luận chính và xử lý ước lượng thô chỉ là mô tả. Chúng tôi định nghĩa bài viết này như ghi nhận nghịch lý này; giải quyết nó là cam kết chương trình nghiên cứu vượt khuôn khổ một bài báo đơn lẻ.</w:t>
      </w:r>
    </w:p>
    <w:bookmarkEnd w:id="70"/>
    <w:bookmarkStart w:id="71" w:name="hàm-ý-quản-trị-và-chính-sách"/>
    <w:p>
      <w:pPr>
        <w:pStyle w:val="Heading3"/>
      </w:pPr>
      <w:r>
        <w:t xml:space="preserve">5.3 Hàm ý quản trị và chính sách</w:t>
      </w:r>
    </w:p>
    <w:p>
      <w:pPr>
        <w:pStyle w:val="FirstParagraph"/>
      </w:pPr>
      <w:r>
        <w:t xml:space="preserve">Ba hàm ý theo sau trong các giới hạn được đặt bởi nghịch lý của §5.2. Vì hiệu ứng đã hiệu chỉnh thiên lệch (</w:t>
      </w:r>
      <w:r>
        <w:rPr>
          <w:iCs/>
          <w:i/>
        </w:rPr>
        <w:t xml:space="preserve">r</w:t>
      </w:r>
      <w:r>
        <w:t xml:space="preserve"> </w:t>
      </w:r>
      <w:r>
        <w:t xml:space="preserve">≈ .035) ngồi dưới ngưỡng</w:t>
      </w:r>
      <w:r>
        <w:t xml:space="preserve"> </w:t>
      </w:r>
      <w:r>
        <w:t xml:space="preserve">“</w:t>
      </w:r>
      <w:r>
        <w:t xml:space="preserve">nhỏ</w:t>
      </w:r>
      <w:r>
        <w:t xml:space="preserve">”</w:t>
      </w:r>
      <w:r>
        <w:t xml:space="preserve"> </w:t>
      </w:r>
      <w:r>
        <w:t xml:space="preserve">Cohen và các moderator của chúng tôi không lựa chọn vững chắc các môi trường nơi hiệu ứng lớn hơn, các hàm ý này có giới hạn chứ không phải quy phạm.</w:t>
      </w:r>
      <w:r>
        <w:t xml:space="preserve"> </w:t>
      </w:r>
      <w:r>
        <w:rPr>
          <w:bCs/>
          <w:b/>
        </w:rPr>
        <w:t xml:space="preserve">Đối với các nhà quản lý:</w:t>
      </w:r>
      <w:r>
        <w:t xml:space="preserve"> </w:t>
      </w:r>
      <w:r>
        <w:t xml:space="preserve">quốc tế hóa nên được đánh giá trên logic chiến lược đặc thù doanh nghiệp (đòn bẩy nguồn lực, xây dựng năng lực, đa dạng hóa danh mục thị trường) chứ không phải trên giả định rằng xuất khẩu nâng năng suất trung bình — lợi nhuận trung bình thực chất nhỏ hơn đáng kể so với tài liệu công bố gợi ý.</w:t>
      </w:r>
      <w:r>
        <w:t xml:space="preserve"> </w:t>
      </w:r>
      <w:r>
        <w:rPr>
          <w:bCs/>
          <w:b/>
        </w:rPr>
        <w:t xml:space="preserve">Đối với các nhà hoạch định chính sách:</w:t>
      </w:r>
      <w:r>
        <w:t xml:space="preserve"> </w:t>
      </w:r>
      <w:r>
        <w:t xml:space="preserve">khoảng cách Tiên tiến-Mới nổi ICRV không có ý nghĩa (</w:t>
      </w:r>
      <w:r>
        <w:rPr>
          <w:iCs/>
          <w:i/>
        </w:rPr>
        <w:t xml:space="preserve">r̄</w:t>
      </w:r>
      <w:r>
        <w:t xml:space="preserve"> </w:t>
      </w:r>
      <w:r>
        <w:t xml:space="preserve">= 0.079 so với 0.069) không biện minh việc xử lý chất lượng thể chế như đòn bẩy chính cho năng suất do xuất khẩu dẫn dắt; thiết kế xúc tiến xuất khẩu nên cân nhắc chương trình năng lực cấp doanh nghiệp (công nghệ và quản lý) song song với cải cách thể chế.</w:t>
      </w:r>
      <w:r>
        <w:t xml:space="preserve"> </w:t>
      </w:r>
      <w:r>
        <w:rPr>
          <w:bCs/>
          <w:b/>
        </w:rPr>
        <w:t xml:space="preserve">Đối với cộng đồng nghiên cứu IB:</w:t>
      </w:r>
      <w:r>
        <w:t xml:space="preserve"> </w:t>
      </w:r>
      <w:r>
        <w:t xml:space="preserve">tiền đăng ký và báo cáo tổng hợp đã hiệu chỉnh thiên lệch nên trở thành chuẩn trong các phân tích tổng hợp I-P tương lai.</w:t>
      </w:r>
    </w:p>
    <w:bookmarkEnd w:id="71"/>
    <w:bookmarkStart w:id="72" w:name="hạn-chế-và-giới-hạn-suy-luận"/>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w:t>
      </w:r>
      <w:r>
        <w:t xml:space="preserve"> </w:t>
      </w:r>
      <w:r>
        <w:t xml:space="preserve">“</w:t>
      </w:r>
      <w:r>
        <w:t xml:space="preserve">phạt bắt buộc</w:t>
      </w:r>
      <w:r>
        <w:t xml:space="preserve">”</w:t>
      </w:r>
      <w:r>
        <w:t xml:space="preserve">,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2"/>
    <w:bookmarkEnd w:id="73"/>
    <w:bookmarkStart w:id="74" w:name="kết-luận"/>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Hướng nghiên cứu tương lai.</w:t>
      </w:r>
      <w:r>
        <w:t xml:space="preserve"> </w:t>
      </w:r>
      <w:r>
        <w:t xml:space="preserve">Ba hướng theo từ các phát hiện moderator không có ý nghĩa. Thứ nhất, tìm kiếm chính thức WoS/Scopus nhắm vào các nền kinh tế Frontier và SIDS sẽ nâng</w:t>
      </w:r>
      <w:r>
        <w:t xml:space="preserve"> </w:t>
      </w:r>
      <w:r>
        <w:rPr>
          <w:iCs/>
          <w:i/>
        </w:rPr>
        <w:t xml:space="preserve">k</w:t>
      </w:r>
      <w:r>
        <w:t xml:space="preserve"> </w:t>
      </w:r>
      <w:r>
        <w:t xml:space="preserve">Frontier từ 3 lên 20–40 hợp lý, cho phép kiểm định giữa các chế độ có công lực. Thứ hai, sao chép tiền đăng ký với phân tích công lực mỗi ô rõ ràng được hiệu chuẩn theo</w:t>
      </w:r>
      <w:r>
        <w:t xml:space="preserve"> </w:t>
      </w:r>
      <w:r>
        <w:rPr>
          <w:iCs/>
          <w:i/>
        </w:rPr>
        <w:t xml:space="preserve">r</w:t>
      </w:r>
      <w:r>
        <w:t xml:space="preserve"> </w:t>
      </w:r>
      <w:r>
        <w:t xml:space="preserve">≈ .035 trên một corpus</w:t>
      </w:r>
      <w:r>
        <w:t xml:space="preserve"> </w:t>
      </w:r>
      <w:r>
        <w:rPr>
          <w:iCs/>
          <w:i/>
        </w:rPr>
        <w:t xml:space="preserve">k</w:t>
      </w:r>
      <w:r>
        <w:t xml:space="preserve"> </w:t>
      </w:r>
      <w:r>
        <w:t xml:space="preserve">≥ 400 sẽ cung cấp kiểm định moderator dứt khoát. Thứ ba, phát hiện thiên lệch công bố thúc đẩy kiểm toán dành riêng cho các kết quả I-P chưa công bố (khảo sát, tài liệu xám, luận án) để định nghĩa giới hạn hiệu ứng quần thể thực chính xác hơn riêng trim-and-fill (xem §5.4 cho lập luận giới hạn suy luận đầy đủ).</w:t>
      </w:r>
    </w:p>
    <w:p>
      <w:r>
        <w:pict>
          <v:rect style="width:0;height:1.5pt" o:hralign="center" o:hrstd="t" o:hr="t"/>
        </w:pict>
      </w:r>
    </w:p>
    <w:bookmarkEnd w:id="74"/>
    <w:bookmarkStart w:id="75"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5"/>
    <w:bookmarkStart w:id="76" w:name="quyền-lợi-cạnh-tranh"/>
    <w:p>
      <w:pPr>
        <w:pStyle w:val="Heading2"/>
      </w:pPr>
      <w:r>
        <w:t xml:space="preserve">Quyền lợi cạnh tranh</w:t>
      </w:r>
    </w:p>
    <w:p>
      <w:pPr>
        <w:pStyle w:val="FirstParagraph"/>
      </w:pPr>
      <w:r>
        <w:t xml:space="preserve">Các tác giả tuyên bố không có xung đột lợi ích.</w:t>
      </w:r>
    </w:p>
    <w:bookmarkEnd w:id="76"/>
    <w:bookmarkStart w:id="77"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7"/>
    <w:bookmarkStart w:id="78"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 https://doi.org/10.1001/jama.1990.03440100097014</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 https://doi.org/10.5089/9781513512242.087</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8"/>
    <w:bookmarkStart w:id="79"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(https://osf.io/z37kn).</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+ 7 hình × 280):</w:t>
      </w:r>
      <w:r>
        <w:rPr>
          <w:iCs/>
          <w:i/>
        </w:rPr>
        <w:t xml:space="preserve"> </w:t>
      </w:r>
      <m:oMath>
        <m:r>
          <m:rPr>
            <m:sty m:val="p"/>
          </m:rPr>
          <m:t>≈</m:t>
        </m:r>
      </m:oMath>
      <w:r>
        <w:rPr>
          <w:iCs/>
          <w:i/>
        </w:rPr>
        <w:t xml:space="preserve"> </w:t>
      </w:r>
      <w:r>
        <w:rPr>
          <w:iCs/>
          <w:i/>
        </w:rPr>
        <w:t xml:space="preserve">12,000 word-equivalents. Phiên bản v1.3 đồng bộ với EN v1.3 — bao gồm đoạn nghịch lý thiên lệch công bố (§5.2), điều kiện construct-validity cho cDAI (§4.4), §4.3 mở đầu bằng kết quả drop-Frontier, và sai lệch tiền đăng ký thứ 5 đã được công bố (§3.1).</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(https://osf.io/z37kn).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79"/>
    <w:bookmarkEnd w:id="8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46" Target="media/rId46.png" /><Relationship Type="http://schemas.openxmlformats.org/officeDocument/2006/relationships/image" Id="rId27" Target="media/rId27.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2026-05-31T00:11:51Z</dcterms:created>
  <dcterms:modified xsi:type="dcterms:W3CDTF">2026-05-31T00:11:51Z</dcterms:modified>
</cp:coreProperties>
</file>

<file path=docProps/custom.xml><?xml version="1.0" encoding="utf-8"?>
<Properties xmlns="http://schemas.openxmlformats.org/officeDocument/2006/custom-properties" xmlns:vt="http://schemas.openxmlformats.org/officeDocument/2006/docPropsVTypes"/>
</file>