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7.png" ContentType="image/png"/>
  <Override PartName="/word/media/rId61.png" ContentType="image/png"/>
  <Override PartName="/word/media/rId65.png" ContentType="image/png"/>
  <Override PartName="/word/media/rId47.png" ContentType="image/png"/>
  <Override PartName="/word/media/rId2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Can Tho University / Huong Do Thi Thuy</w:t>
      </w:r>
      <w:r>
        <w:t xml:space="preserve"> </w:t>
      </w:r>
      <w:r>
        <w:rPr>
          <w:bCs/>
          <w:b/>
        </w:rPr>
        <w:t xml:space="preserve">Phan Anh Tú</w:t>
      </w:r>
      <w:r>
        <w:t xml:space="preserve">, Can Tho University</w:t>
      </w:r>
    </w:p>
    <w:p>
      <w:pPr>
        <w:pStyle w:val="BodyText"/>
      </w:pPr>
      <w:r>
        <w:rPr>
          <w:iCs/>
          <w:i/>
        </w:rPr>
        <w:t xml:space="preserve">Manuscript prepared for: Management International Review (MIR; Springer, Scopus Q1, ABS-3)</w:t>
      </w:r>
      <w:r>
        <w:t xml:space="preserve"> </w:t>
      </w:r>
      <w:r>
        <w:rPr>
          <w:iCs/>
          <w:i/>
        </w:rPr>
        <w:t xml:space="preserve">Version 1.3, May 2026 (target journal submission: Q3 2026; v1.3 incorporates adversarial-review fixes)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First three-level meta-analytic regression analysis (MARA) of the internationalization–performance (I-P) relationship testing whether country-level digital adoption (cDAI), institutional context regime (ICRV), and Digital Paradox Lifecycle (DPL) phase moderate it across a geographically diverse corpus.</w:t>
      </w:r>
    </w:p>
    <w:p>
      <w:pPr>
        <w:pStyle w:val="BodyText"/>
      </w:pPr>
      <w:r>
        <w:rPr>
          <w:bCs/>
          <w:b/>
        </w:rPr>
        <w:t xml:space="preserve">Design/methodology/approach.</w:t>
      </w:r>
      <w:r>
        <w:t xml:space="preserve"> </w:t>
      </w:r>
      <w:r>
        <w:t xml:space="preserve">Following PRISMA 2020, backward and forward citation tracking of five anchor meta-analyses with hand-search assembles an analyzed corpus of</w:t>
      </w:r>
      <w:r>
        <w:t xml:space="preserve"> </w:t>
      </w:r>
      <w:r>
        <w:rPr>
          <w:iCs/>
          <w:i/>
        </w:rPr>
        <w:t xml:space="preserve">k</w:t>
      </w:r>
      <w:r>
        <w:t xml:space="preserve"> </w:t>
      </w:r>
      <w:r>
        <w:t xml:space="preserve">= 238 studies and</w:t>
      </w:r>
      <w:r>
        <w:t xml:space="preserve"> </w:t>
      </w:r>
      <w:r>
        <w:rPr>
          <w:iCs/>
          <w:i/>
        </w:rPr>
        <w:t xml:space="preserve">K</w:t>
      </w:r>
      <w:r>
        <w:t xml:space="preserve"> </w:t>
      </w:r>
      <w:r>
        <w:t xml:space="preserve">= 288 effect sizes from 49 economies. Three-level MARA via</w:t>
      </w:r>
      <w:r>
        <w:t xml:space="preserve"> </w:t>
      </w:r>
      <w:r>
        <w:rPr>
          <w:iCs/>
          <w:i/>
        </w:rPr>
        <w:t xml:space="preserve">metafor</w:t>
      </w:r>
      <w:r>
        <w:t xml:space="preserve"> </w:t>
      </w:r>
      <w:r>
        <w:t xml:space="preserve">decomposes within- and between-study heterogeneity under OSF pre-registration.</w:t>
      </w:r>
    </w:p>
    <w:p>
      <w:pPr>
        <w:pStyle w:val="BodyText"/>
      </w:pPr>
      <w:r>
        <w:rPr>
          <w:bCs/>
          <w:b/>
        </w:rPr>
        <w:t xml:space="preserve">Findings.</w:t>
      </w:r>
      <w:r>
        <w:t xml:space="preserve"> </w:t>
      </w:r>
      <w:r>
        <w:t xml:space="preserve">Pooled effect</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The full-sample ICRV omnibus is significant (</w:t>
      </w:r>
      <w:r>
        <w:rPr>
          <w:iCs/>
          <w:i/>
        </w:rPr>
        <w:t xml:space="preserve">Q</w:t>
      </w:r>
      <w:r>
        <w:t xml:space="preserve">_M = 17.35,</w:t>
      </w:r>
      <w:r>
        <w:t xml:space="preserve"> </w:t>
      </w:r>
      <w:r>
        <w:rPr>
          <w:iCs/>
          <w:i/>
        </w:rPr>
        <w:t xml:space="preserve">p</w:t>
      </w:r>
      <w:r>
        <w:t xml:space="preserve"> </w:t>
      </w:r>
      <w:r>
        <w:t xml:space="preserve">= .002) but not robust: drop-Frontier sensitivity yields</w:t>
      </w:r>
      <w:r>
        <w:t xml:space="preserve"> </w:t>
      </w:r>
      <w:r>
        <w:rPr>
          <w:iCs/>
          <w:i/>
        </w:rPr>
        <w:t xml:space="preserve">Q</w:t>
      </w:r>
      <w:r>
        <w:t xml:space="preserve">_M = 1.49 (</w:t>
      </w:r>
      <w:r>
        <w:rPr>
          <w:iCs/>
          <w:i/>
        </w:rPr>
        <w:t xml:space="preserve">p</w:t>
      </w:r>
      <w:r>
        <w:t xml:space="preserve"> </w:t>
      </w:r>
      <w:r>
        <w:t xml:space="preserve">= .68); cDAI and DPL moderation are non-significant. Trim-and-fill imputes</w:t>
      </w:r>
      <w:r>
        <w:t xml:space="preserve"> </w:t>
      </w:r>
      <w:r>
        <w:rPr>
          <w:iCs/>
          <w:i/>
        </w:rPr>
        <w:t xml:space="preserve">k</w:t>
      </w:r>
      <w:r>
        <w:t xml:space="preserve"> </w:t>
      </w:r>
      <w:r>
        <w:t xml:space="preserve">= 58 missing studies, cutting</w:t>
      </w:r>
      <w:r>
        <w:t xml:space="preserve"> </w:t>
      </w:r>
      <w:r>
        <w:rPr>
          <w:iCs/>
          <w:i/>
        </w:rPr>
        <w:t xml:space="preserve">r</w:t>
      </w:r>
      <w:r>
        <w:t xml:space="preserve"> </w:t>
      </w:r>
      <w:r>
        <w:t xml:space="preserve">to .035 — a ~53% attenuation (Begg</w:t>
      </w:r>
      <w:r>
        <w:t xml:space="preserve"> </w:t>
      </w:r>
      <w:r>
        <w:rPr>
          <w:iCs/>
          <w:i/>
        </w:rPr>
        <w:t xml:space="preserve">p</w:t>
      </w:r>
      <w:r>
        <w:t xml:space="preserve"> </w:t>
      </w:r>
      <w:r>
        <w:t xml:space="preserve">&lt; .001).</w:t>
      </w:r>
    </w:p>
    <w:p>
      <w:pPr>
        <w:pStyle w:val="BodyText"/>
      </w:pPr>
      <w:r>
        <w:rPr>
          <w:bCs/>
          <w:b/>
        </w:rPr>
        <w:t xml:space="preserve">Originality/value.</w:t>
      </w:r>
      <w:r>
        <w:t xml:space="preserve"> </w:t>
      </w:r>
      <w:r>
        <w:t xml:space="preserve">First three-level MARA and first pre-registered cDAI/ICRV/DPL meta-test in the I-P literature; first systematic quantification of publication-bias attenuation in this 40-year evidence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a firm's degree of internationalization and its performance, the "I-P relationship", is the most meta-analyzed question in international business. Over four decades and six major meta-analyses (Bausch &amp; Krist, 2007; Kirca et al., 2012; Marano et al., 2016; Schwens et al., 2018; Wu et al., 2022; Arte &amp; Larimo, 2022), pooled positive effects are consistently small yet</w:t>
      </w:r>
      <w:r>
        <w:t xml:space="preserve"> </w:t>
      </w:r>
      <m:oMath>
        <m:sSup>
          <m:e>
            <m:r>
              <m:t>I</m:t>
            </m:r>
          </m:e>
          <m:sup>
            <m:r>
              <m:t>2</m:t>
            </m:r>
          </m:sup>
        </m:sSup>
      </m:oMath>
      <w:r>
        <w:t xml:space="preserve"> </w:t>
      </w:r>
      <w:r>
        <w:t xml:space="preserve">regularly exceeds 80%, signalling that context, not a universal mechanism, drives outcomes. Whether internationalization improves firm performance shapes investment decisions, export-promotion policy, and firm strategy in an interconnected global economy (Hitt et al., 2006; Lu &amp; Beamish, 2004), yet the record remains inconclusive.</w:t>
      </w:r>
    </w:p>
    <w:p>
      <w:pPr>
        <w:pStyle w:val="BodyText"/>
      </w:pPr>
      <w:r>
        <w:t xml:space="preserve">The present study's starting point is the ICBEF 2025 baseline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That baseline confirmed the positive average effect but left approximately 70% of variance unexplained after the standard moderators (country of origin, industry, performance measure).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classification. The global corpus spans the full institutional spectrum from Singapore (WGI Rule of Law +1.84) to Pakistan (−0.55) and Iran (−0.74; World Bank, 2023). A six-regime classification capable of resolving this heterogeneity has not been tested meta-analytically.</w:t>
      </w:r>
    </w:p>
    <w:p>
      <w:pPr>
        <w:pStyle w:val="BodyText"/>
      </w:pPr>
      <w:r>
        <w:rPr>
          <w:bCs/>
          <w:b/>
        </w:rPr>
        <w:t xml:space="preserve">Gap 3, DPL phase.</w:t>
      </w:r>
      <w:r>
        <w:t xml:space="preserve"> </w:t>
      </w:r>
      <w:r>
        <w:t xml:space="preserve">Brynjolfsson et al. (2021) identified 2009 as a productivity inflection in the digital era (the "dynamo analogy" for AI; David, 1990). Studies drawing on data from before, spanning, or after this threshold should yield systematically different I-P effects if digital platforms reshape internationalization economics; this temporal moderator has never been systematically coded.</w:t>
      </w:r>
    </w:p>
    <w:p>
      <w:pPr>
        <w:pStyle w:val="BodyText"/>
      </w:pPr>
      <w:r>
        <w:t xml:space="preserve">This paper addresses all three gaps through a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(49 economies;</w:t>
      </w:r>
      <w:r>
        <w:t xml:space="preserve"> </w:t>
      </w:r>
      <w:r>
        <w:rPr>
          <w:iCs/>
          <w:i/>
        </w:rPr>
        <w:t xml:space="preserve">K</w:t>
      </w:r>
      <w:r>
        <w:t xml:space="preserve"> </w:t>
      </w:r>
      <w:r>
        <w:t xml:space="preserve">= 288 effect sizes), combined with three-level MARA that decomposes heterogeneity beyond what conventional random-effects models allow.</w:t>
      </w:r>
    </w:p>
    <w:p>
      <w:pPr>
        <w:pStyle w:val="BodyText"/>
      </w:pPr>
      <w:r>
        <w:rPr>
          <w:bCs/>
          <w:b/>
        </w:rPr>
        <w:t xml:space="preserve">Contributions.</w:t>
      </w:r>
      <w:r>
        <w:t xml:space="preserve"> </w:t>
      </w:r>
      <w:r>
        <w:rPr>
          <w:iCs/>
          <w:i/>
        </w:rPr>
        <w:t xml:space="preserve">Methodologically</w:t>
      </w:r>
      <w:r>
        <w:t xml:space="preserve">: (1) the first three-level MARA of the I-P literature; (2) PRISMA-2020-compliant search with OSF pre-registration.</w:t>
      </w:r>
      <w:r>
        <w:t xml:space="preserve"> </w:t>
      </w:r>
      <w:r>
        <w:rPr>
          <w:iCs/>
          <w:i/>
        </w:rPr>
        <w:t xml:space="preserve">Theoretically</w:t>
      </w:r>
      <w:r>
        <w:t xml:space="preserve">: (3) the first formal meta-analytic test of ICRV institutional regime, country-level digital adoption (cDAI), and Digital Paradox Lifecycle (DPL) phase as moderators of I-P, on a geographically diverse (though Advanced-economy-skewed) corpus of 49 economies. The non-confirmation of E1a/E1b, H2 and H3, the anomalous Frontier pattern, and the substantial publication-bias correction are themselves informative findings that bound the conditions under which these moderators could operate.</w:t>
      </w:r>
    </w:p>
    <w:p>
      <w:pPr>
        <w:pStyle w:val="BodyText"/>
      </w:pPr>
      <w:r>
        <w:rPr>
          <w:bCs/>
          <w:b/>
        </w:rPr>
        <w:t xml:space="preserve">Key findings.</w:t>
      </w:r>
      <w:r>
        <w:t xml:space="preserve"> </w:t>
      </w:r>
      <w:r>
        <w:t xml:space="preserve">Baseline</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replicates the ICBEF 2025 baseline. ICRV full-sample</w:t>
      </w:r>
      <w:r>
        <w:t xml:space="preserve"> </w:t>
      </w:r>
      <w:r>
        <w:rPr>
          <w:iCs/>
          <w:i/>
        </w:rPr>
        <w:t xml:space="preserve">Q</w:t>
      </w:r>
      <w:r>
        <w:t xml:space="preserve">_M = 17.35 (</w:t>
      </w:r>
      <w:r>
        <w:rPr>
          <w:iCs/>
          <w:i/>
        </w:rPr>
        <w:t xml:space="preserve">p</w:t>
      </w:r>
      <w:r>
        <w:t xml:space="preserve"> </w:t>
      </w:r>
      <w:r>
        <w:t xml:space="preserve">= .002) but drop-Frontier</w:t>
      </w:r>
      <w:r>
        <w:t xml:space="preserve"> </w:t>
      </w:r>
      <w:r>
        <w:rPr>
          <w:iCs/>
          <w:i/>
        </w:rPr>
        <w:t xml:space="preserve">Q</w:t>
      </w:r>
      <w:r>
        <w:t xml:space="preserve">_M = 1.49 (</w:t>
      </w:r>
      <w:r>
        <w:rPr>
          <w:iCs/>
          <w:i/>
        </w:rPr>
        <w:t xml:space="preserve">p</w:t>
      </w:r>
      <w:r>
        <w:t xml:space="preserve"> </w:t>
      </w:r>
      <w:r>
        <w:t xml:space="preserve">= .68); H1 fragile, E1a/E1b not confirmed.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non-significant; H2/H3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borderline, we frame the magnitude as a strong directional signal rather than a settled point estimate). Heterogeneity decomposition assigns the bulk of</w:t>
      </w:r>
      <w:r>
        <w:t xml:space="preserve"> </w:t>
      </w:r>
      <m:oMath>
        <m:sSup>
          <m:e>
            <m:r>
              <m:t>I</m:t>
            </m:r>
          </m:e>
          <m:sup>
            <m:r>
              <m:t>2</m:t>
            </m:r>
          </m:sup>
        </m:sSup>
      </m:oMath>
      <w:r>
        <w:t xml:space="preserve"> </w:t>
      </w:r>
      <w:r>
        <w:t xml:space="preserve">= 87.8% to within-study variance (Level 2, 76.1%) rather than between-country differences (Level 3, 11.8%).</w:t>
      </w:r>
    </w:p>
    <w:p>
      <w:pPr>
        <w:pStyle w:val="BodyText"/>
      </w:pPr>
      <w:r>
        <w:rPr>
          <w:bCs/>
          <w:b/>
        </w:rPr>
        <w:t xml:space="preserve">Organization.</w:t>
      </w:r>
      <w:r>
        <w:t xml:space="preserve"> </w:t>
      </w:r>
      <w:r>
        <w:t xml:space="preserve">Section 2 develops the theoretical framework and hypotheses; Section 3 describes the systematic search, coding, and three-level MARA specification; Section 4 presents results; Section 5 discusses theoretical and practical implications; Section 6 concludes.</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established perspectives ground the three new moderating hypotheses.</w:t>
      </w:r>
      <w:r>
        <w:t xml:space="preserve"> </w:t>
      </w:r>
      <w:r>
        <w:rPr>
          <w:bCs/>
          <w:b/>
        </w:rPr>
        <w:t xml:space="preserve">Resource-Based View</w:t>
      </w:r>
      <w:r>
        <w:t xml:space="preserve"> </w:t>
      </w:r>
      <w:r>
        <w:t xml:space="preserve">(Barney, 1991; Wernerfelt, 1984) predicts that firms in resource-rich environments, including national digital infrastructure, capture higher returns to internationalization through resource bundling at the country level. cDAI here is the country-level construct distinct from the firm-level digital adoption (DAI) used in companion primary studies; at meta-analytic resolution only cDAI is extractable as a study-level moderator.</w:t>
      </w:r>
      <w:r>
        <w:t xml:space="preserve"> </w:t>
      </w:r>
      <w:r>
        <w:rPr>
          <w:bCs/>
          <w:b/>
        </w:rPr>
        <w:t xml:space="preserve">Institutional theory</w:t>
      </w:r>
      <w:r>
        <w:t xml:space="preserve"> </w:t>
      </w:r>
      <w:r>
        <w:t xml:space="preserve">(North, 1990; Scott, 1995) positions formal and informal institutions as the rules that govern transaction costs of cross-border expansion: higher institutional quality reduces opportunism, monitoring, and information asymmetry costs, and the ICRV gradient hypothesis (H1) derives directly from this logic, expected I-P effects decline as institutional quality falls from Advanced (Regime I) to Frontier (Regime V).</w:t>
      </w:r>
      <w:r>
        <w:t xml:space="preserve"> </w:t>
      </w:r>
      <w:r>
        <w:rPr>
          <w:bCs/>
          <w:b/>
        </w:rPr>
        <w:t xml:space="preserve">Organizational learning theory</w:t>
      </w:r>
      <w:r>
        <w:t xml:space="preserve"> </w:t>
      </w:r>
      <w:r>
        <w:t xml:space="preserve">(Johanson &amp; Vahlne, 1977, 2009) frames internationalization as experiential knowledge accumulation; digital platforms, cloud analytics, real-time demand signals, B2B platforms, compress the learning curve once they reach diffusion maturity (Stallkamp &amp; Schotter, 2021), the substantive basis for the DPL Follow-phase prediction (H2).</w:t>
      </w:r>
      <w:r>
        <w:t xml:space="preserve"> </w:t>
      </w:r>
      <w:r>
        <w:rPr>
          <w:bCs/>
          <w:b/>
        </w:rPr>
        <w:t xml:space="preserve">Coordination cost theory</w:t>
      </w:r>
      <w:r>
        <w:t xml:space="preserve"> </w:t>
      </w:r>
      <w:r>
        <w:t xml:space="preserve">(Hitt et al., 1997; Lu &amp; Beamish, 2004) generates the modal inverted-U I-P pattern (Marano et al., 2016); mature national digital infrastructure attenuates the right-side decline by reducing communication, transaction, and information-asymmetry costs simultaneously.</w:t>
      </w:r>
      <w:r>
        <w:t xml:space="preserve"> </w:t>
      </w:r>
      <w:r>
        <w:rPr>
          <w:bCs/>
          <w:b/>
        </w:rPr>
        <w:t xml:space="preserve">Verhoef et al.'s (2021) digital transformation hierarchy</w:t>
      </w:r>
      <w:r>
        <w:t xml:space="preserve"> </w:t>
      </w:r>
      <w:r>
        <w:t xml:space="preserve">distinguishes Tier-1 digitization, Tier-2 digitalization, Tier-3 integration, and Tier-4 dynamic capability; at the country level the aggregate Tier-1/Tier-2 adoption defines cDAI as a coordination-enabling environment (Stallkamp &amp; Schotter, 2021), the basis for H3.</w:t>
      </w:r>
    </w:p>
    <w:bookmarkEnd w:id="22"/>
    <w:bookmarkStart w:id="23" w:name="X60280ebf061e76035c1071df56ba3736a48ac2a"/>
    <w:p>
      <w:pPr>
        <w:pStyle w:val="Heading3"/>
      </w:pPr>
      <w:r>
        <w:t xml:space="preserve">2.2 Capability–Institution Mismatch Theory (CIMT)</w:t>
      </w:r>
    </w:p>
    <w:p>
      <w:pPr>
        <w:pStyle w:val="FirstParagraph"/>
      </w:pPr>
      <w:r>
        <w:t xml:space="preserve">We propose</w:t>
      </w:r>
      <w:r>
        <w:t xml:space="preserve"> </w:t>
      </w:r>
      <w:r>
        <w:rPr>
          <w:iCs/>
          <w:i/>
        </w:rPr>
        <w:t xml:space="preserve">Capability–Institution Mismatch Theory</w:t>
      </w:r>
      <w:r>
        <w:t xml:space="preserve"> </w:t>
      </w:r>
      <w:r>
        <w:t xml:space="preserve">(CIMT) to explain ICRV-driven heterogeneity in I-P effects. CIMT's core claim is that productivity returns to international expansion depend on the degree to which home-country institutions enable firm capabilities to be deployed productively across borders, through three mechanisms. (i)</w:t>
      </w:r>
      <w:r>
        <w:t xml:space="preserve"> </w:t>
      </w:r>
      <w:r>
        <w:rPr>
          <w:iCs/>
          <w:i/>
        </w:rPr>
        <w:t xml:space="preserve">Rent protection</w:t>
      </w:r>
      <w:r>
        <w:t xml:space="preserve">: in high-quality institutional environments (ICRV-I), strong IP protection and contract enforcement preserve proprietary rents across foreign markets, attenuating knowledge leakage and imitation risk (Kogut &amp; Zander, 1993; Zaheer, 1995). (ii)</w:t>
      </w:r>
      <w:r>
        <w:t xml:space="preserve"> </w:t>
      </w:r>
      <w:r>
        <w:rPr>
          <w:iCs/>
          <w:i/>
        </w:rPr>
        <w:t xml:space="preserve">Liability-of-foreignness attenuation</w:t>
      </w:r>
      <w:r>
        <w:t xml:space="preserve">: transparent regulation and low corruption shrink the information asymmetries and discriminatory treatment that generate LOF (Peng et al., 2008; Zaheer, 1995), letting firms capture a larger share of cross-border productivity gains. (iii)</w:t>
      </w:r>
      <w:r>
        <w:t xml:space="preserve"> </w:t>
      </w:r>
      <w:r>
        <w:rPr>
          <w:iCs/>
          <w:i/>
        </w:rPr>
        <w:t xml:space="preserve">Institutional-void amplification</w:t>
      </w:r>
      <w:r>
        <w:t xml:space="preserve">: in weak environments, firms must invest in substitute governance (relationship capital, political connections, informal contracts) that absorb managerial attention and depress net returns (Khanna &amp; Palepu, 2010); as institutional quality falls along the ICRV spectrum, these costs accumulate. Prior meta-analyses have not tested this gradient at the resolution required because they used coarse global classifications; the ICRV 6-regime taxonomy anchored to WGI Rule of Law (2023 vintage) and applied to the</w:t>
      </w:r>
      <w:r>
        <w:t xml:space="preserve"> </w:t>
      </w:r>
      <w:r>
        <w:rPr>
          <w:iCs/>
          <w:i/>
        </w:rPr>
        <w:t xml:space="preserve">k</w:t>
      </w:r>
      <w:r>
        <w:t xml:space="preserve"> </w:t>
      </w:r>
      <w:r>
        <w:t xml:space="preserve">= 238 global corpus is the first classifier capable of testing CIMT meta-analytically across economies from Singapore (WGI +1.84) to Pakistan (WGI −0.55) and Iran (WGI −0.74).</w:t>
      </w:r>
    </w:p>
    <w:p>
      <w:pPr>
        <w:pStyle w:val="BodyText"/>
      </w:pPr>
      <w:r>
        <w:rPr>
          <w:bCs/>
          <w:b/>
        </w:rPr>
        <w:t xml:space="preserve">Hypothesis 1 (H1, ICRV between-regime heterogeneity).</w:t>
      </w:r>
      <w:r>
        <w:t xml:space="preserve"> </w:t>
      </w:r>
      <w:r>
        <w:t xml:space="preserve">Pooled I-P effects vary systematically across ICRV regimes, with Advanced-regime studies showing the largest average effects (rent-protection + LOF-attenuation + void-cost reduction operating simultaneously). Formally: the between-regime</w:t>
      </w:r>
      <w:r>
        <w:t xml:space="preserve"> </w:t>
      </w:r>
      <w:r>
        <w:rPr>
          <w:iCs/>
          <w:i/>
        </w:rPr>
        <w:t xml:space="preserve">Q</w:t>
      </w:r>
      <w:r>
        <w:t xml:space="preserve">_M for ICRV is significant (</w:t>
      </w:r>
      <w:r>
        <w:rPr>
          <w:iCs/>
          <w:i/>
        </w:rPr>
        <w:t xml:space="preserve">p</w:t>
      </w:r>
      <w:r>
        <w:t xml:space="preserve"> </w:t>
      </w:r>
      <w:r>
        <w:t xml:space="preserve">&lt; .05), and the ICRV-I point estimate exceeds those for Emerging (ICRV-III) and Mixed-regime (MX). The directional order among Frontier studies (ICRV-FR) is treated as exploratory pending adequate</w:t>
      </w:r>
      <w:r>
        <w:t xml:space="preserve"> </w:t>
      </w:r>
      <w:r>
        <w:rPr>
          <w:iCs/>
          <w:i/>
        </w:rPr>
        <w:t xml:space="preserve">k</w:t>
      </w:r>
      <w:r>
        <w:t xml:space="preserve">.</w:t>
      </w:r>
    </w:p>
    <w:p>
      <w:pPr>
        <w:pStyle w:val="BodyText"/>
      </w:pPr>
      <w:r>
        <w:rPr>
          <w:iCs/>
          <w:i/>
        </w:rPr>
        <w:t xml:space="preserve">Exploratory Propositions:</w:t>
      </w:r>
      <w:r>
        <w:t xml:space="preserve"> </w:t>
      </w:r>
      <w:r>
        <w:rPr>
          <w:bCs/>
          <w:b/>
        </w:rPr>
        <w:t xml:space="preserve">E1a</w:t>
      </w:r>
      <w:r>
        <w:t xml:space="preserve">, ICRV-I shows the largest pooled effect (all three CIMT mechanisms active).</w:t>
      </w:r>
      <w:r>
        <w:t xml:space="preserve"> </w:t>
      </w:r>
      <w:r>
        <w:rPr>
          <w:bCs/>
          <w:b/>
        </w:rPr>
        <w:t xml:space="preserve">E1b</w:t>
      </w:r>
      <w:r>
        <w:t xml:space="preserve">, Frontier-regime studies (ICRV-FR) show the smallest, possibly null/negative pooled effect (institutional-void costs dominate); E1b is exploratory because current FR</w:t>
      </w:r>
      <w:r>
        <w:t xml:space="preserve"> </w:t>
      </w:r>
      <w:r>
        <w:rPr>
          <w:iCs/>
          <w:i/>
        </w:rPr>
        <w:t xml:space="preserve">k</w:t>
      </w:r>
      <w:r>
        <w:t xml:space="preserve"> </w:t>
      </w:r>
      <w:r>
        <w:t xml:space="preserve">= 3 is below the</w:t>
      </w:r>
      <w:r>
        <w:t xml:space="preserve"> </w:t>
      </w:r>
      <w:r>
        <w:rPr>
          <w:iCs/>
          <w:i/>
        </w:rPr>
        <w:t xml:space="preserve">k</w:t>
      </w:r>
      <w:r>
        <w:t xml:space="preserve"> </w:t>
      </w:r>
      <w:r>
        <w:t xml:space="preserve">≥ 10 threshold for stable random-effects moderation (Valentine et al., 2010).</w:t>
      </w:r>
    </w:p>
    <w:bookmarkEnd w:id="23"/>
    <w:bookmarkStart w:id="24" w:name="X77918c9b77e0cb6adcb76d942e27e80ac8db94d"/>
    <w:p>
      <w:pPr>
        <w:pStyle w:val="Heading3"/>
      </w:pPr>
      <w:r>
        <w:t xml:space="preserve">2.3 Digital Paradox Lifecycle (DPL)</w:t>
      </w:r>
    </w:p>
    <w:p>
      <w:pPr>
        <w:pStyle w:val="FirstParagraph"/>
      </w:pPr>
      <w:r>
        <w:t xml:space="preserve">The Digital Paradox Lifecycle extends Brynjolfsson et al.'s (2021) productivity J-curve and David's (1990) dynamo analogy: general-purpose technologies require decades of complementary investment before productivity benefits materialize. Applied to I-P, three phases characterize the digital transformation of internationalization:</w:t>
      </w:r>
      <w:r>
        <w:t xml:space="preserve"> </w:t>
      </w:r>
      <w:r>
        <w:rPr>
          <w:bCs/>
          <w:b/>
        </w:rPr>
        <w:t xml:space="preserve">Precede</w:t>
      </w:r>
      <w:r>
        <w:t xml:space="preserve"> </w:t>
      </w:r>
      <w:r>
        <w:t xml:space="preserve">(data ≤ 2008): low digital penetration in cross-border trade; classical coordination cost mechanisms (Hitt et al., 1997; Lu &amp; Beamish, 2004) dominate.</w:t>
      </w:r>
      <w:r>
        <w:t xml:space="preserve"> </w:t>
      </w:r>
      <w:r>
        <w:rPr>
          <w:bCs/>
          <w:b/>
        </w:rPr>
        <w:t xml:space="preserve">Span</w:t>
      </w:r>
      <w:r>
        <w:t xml:space="preserve"> </w:t>
      </w:r>
      <w:r>
        <w:t xml:space="preserve">(2009–2013): transitional period in which infrastructure builds but complementary organizational capabilities have not yet been absorbed; effects are heterogeneous and intermediate.</w:t>
      </w:r>
      <w:r>
        <w:t xml:space="preserve"> </w:t>
      </w:r>
      <w:r>
        <w:rPr>
          <w:bCs/>
          <w:b/>
        </w:rPr>
        <w:t xml:space="preserve">Follow</w:t>
      </w:r>
      <w:r>
        <w:t xml:space="preserve"> </w:t>
      </w:r>
      <w:r>
        <w:t xml:space="preserve">(≥ 2014): digital platforms, cloud logistics, B2B e-commerce, electronic payments, digital trade finance, have reached the maturity threshold at which coordination costs are systematically compressed; effects are expected largest.</w:t>
      </w:r>
    </w:p>
    <w:p>
      <w:pPr>
        <w:pStyle w:val="BodyText"/>
      </w:pPr>
      <w:r>
        <w:t xml:space="preserve">The 2009 inflection point is anchored by three concurrent developments: (a) global smartphone/mobile-internet diffusion (2007–2009) that transformed cross-border communication costs; (b) rapid B2B e-commerce platform growth in China and Southeast Asia (Alibaba B2B International 2008–2010; Lazada 2011; Tokopedia 2009); (c) post-2009 financial crisis acceleration of SME digital adoption as cost-reduction strategy. These make 2009 a defensible global inflection rather than an arbitrary cut.</w:t>
      </w:r>
    </w:p>
    <w:p>
      <w:pPr>
        <w:pStyle w:val="BodyText"/>
      </w:pPr>
      <w:r>
        <w:rPr>
          <w:bCs/>
          <w:b/>
        </w:rPr>
        <w:t xml:space="preserve">Hypothesis 2 (H2, DPL phase).</w:t>
      </w:r>
      <w:r>
        <w:t xml:space="preserve"> </w:t>
      </w:r>
      <w:r>
        <w:t xml:space="preserve">Follow-phase studies show larger pooled I-P effects than Precede-phase studies (</w:t>
      </w:r>
      <w:r>
        <w:rPr>
          <w:iCs/>
          <w:i/>
        </w:rPr>
        <w:t xml:space="preserve">r̄</w:t>
      </w:r>
      <w:r>
        <w:t xml:space="preserve">[FOL] &gt;</w:t>
      </w:r>
      <w:r>
        <w:t xml:space="preserve"> </w:t>
      </w:r>
      <w:r>
        <w:rPr>
          <w:iCs/>
          <w:i/>
        </w:rPr>
        <w:t xml:space="preserve">r̄</w:t>
      </w:r>
      <w:r>
        <w:t xml:space="preserve">[PRE], with</w:t>
      </w:r>
      <w:r>
        <w:t xml:space="preserve"> </w:t>
      </w:r>
      <w:r>
        <w:rPr>
          <w:iCs/>
          <w:i/>
        </w:rPr>
        <w:t xml:space="preserve">r̄</w:t>
      </w:r>
      <w:r>
        <w:t xml:space="preserve">[SPN] intermediate); the between-phase</w:t>
      </w:r>
      <w:r>
        <w:t xml:space="preserve"> </w:t>
      </w:r>
      <w:r>
        <w:rPr>
          <w:iCs/>
          <w:i/>
        </w:rPr>
        <w:t xml:space="preserve">Q</w:t>
      </w:r>
      <w:r>
        <w:t xml:space="preserve">_M is expected significant (</w:t>
      </w:r>
      <w:r>
        <w:rPr>
          <w:iCs/>
          <w:i/>
        </w:rPr>
        <w:t xml:space="preserve">p</w:t>
      </w:r>
      <w:r>
        <w:t xml:space="preserve"> </w:t>
      </w:r>
      <w:r>
        <w:t xml:space="preserve">&lt; .05). The test is bounded by the J-curve logic: below ≈ 30 effects per phase, the between-group test is underpowered for moderate moderation (</w:t>
      </w:r>
      <w:r>
        <w:rPr>
          <w:iCs/>
          <w:i/>
        </w:rPr>
        <w:t xml:space="preserve">f</w:t>
      </w:r>
      <w:r>
        <w:t xml:space="preserve">² &lt; 0.10).</w:t>
      </w:r>
    </w:p>
    <w:bookmarkEnd w:id="24"/>
    <w:bookmarkStart w:id="25" w:name="X06eaeff80b80217fd679bdba94d6b93bf865258"/>
    <w:p>
      <w:pPr>
        <w:pStyle w:val="Heading3"/>
      </w:pPr>
      <w:r>
        <w:t xml:space="preserve">2.4 cDAI as Amplifier</w:t>
      </w:r>
    </w:p>
    <w:p>
      <w:pPr>
        <w:pStyle w:val="FirstParagraph"/>
      </w:pPr>
      <w:r>
        <w:t xml:space="preserve">cDAI is an ecosystem property distinct from firm-level DAI: it captures the aggregate Tier-1/Tier-2 digital adoption density (broadband coverage, electronic payments, digital identity, regulatory support for digital commerce) that exists regardless of any individual firm's adoption decision, and it operates at the between-study level in a meta-analysis. Measurement uses the World Bank Digital Adoption Index (primary, 2016 vintage updated through ITU DDI 2017–2026) or ITU ICT Development Index (substitute), rescaled to 0–1 (Sahay et al., 2020); country-year assignment follows each study's dominant data period.</w:t>
      </w:r>
    </w:p>
    <w:p>
      <w:pPr>
        <w:pStyle w:val="BodyText"/>
      </w:pPr>
      <w:r>
        <w:t xml:space="preserve">The mechanism is the</w:t>
      </w:r>
      <w:r>
        <w:t xml:space="preserve"> </w:t>
      </w:r>
      <w:r>
        <w:rPr>
          <w:iCs/>
          <w:i/>
        </w:rPr>
        <w:t xml:space="preserve">coordination platform effect</w:t>
      </w:r>
      <w:r>
        <w:t xml:space="preserve"> </w:t>
      </w:r>
      <w:r>
        <w:t xml:space="preserve">(Stallkamp &amp; Schotter, 2021): mature national digital ecosystems lower the per-unit cost of cross-border transactions, with returns concentrated at higher internationalization intensities where digital tools substitute for the physical coordination investments otherwise required (Bharadwaj et al., 2013; Verhoef et al., 2021). The amplification is expected concentrated in the DPL Follow phase, because only post-2014 does national infrastructure function as an active coordination platform rather than a communication tool. Bustamante et al. (2022) provide the closest prior cross-country evidence at the firm level; the present study tests the meta-analytic extension.</w:t>
      </w:r>
    </w:p>
    <w:p>
      <w:pPr>
        <w:pStyle w:val="BodyText"/>
      </w:pPr>
      <w:r>
        <w:rPr>
          <w:bCs/>
          <w:b/>
        </w:rPr>
        <w:t xml:space="preserve">Hypothesis 3 (H3, cDAI amplification).</w:t>
      </w:r>
      <w:r>
        <w:t xml:space="preserve"> </w:t>
      </w:r>
      <w:r>
        <w:t xml:space="preserve">High-cDAI studies show larger pooled I-P effects than low-cDAI studies (</w:t>
      </w:r>
      <w:r>
        <w:rPr>
          <w:iCs/>
          <w:i/>
        </w:rPr>
        <w:t xml:space="preserve">r̄</w:t>
      </w:r>
      <w:r>
        <w:t xml:space="preserve">[High] &gt;</w:t>
      </w:r>
      <w:r>
        <w:t xml:space="preserve"> </w:t>
      </w:r>
      <w:r>
        <w:rPr>
          <w:iCs/>
          <w:i/>
        </w:rPr>
        <w:t xml:space="preserve">r̄</w:t>
      </w:r>
      <w:r>
        <w:t xml:space="preserve">[Low]; between-group</w:t>
      </w:r>
      <w:r>
        <w:t xml:space="preserve"> </w:t>
      </w:r>
      <w:r>
        <w:rPr>
          <w:iCs/>
          <w:i/>
        </w:rPr>
        <w:t xml:space="preserve">Q</w:t>
      </w:r>
      <w:r>
        <w:t xml:space="preserve">_M significant,</w:t>
      </w:r>
      <w:r>
        <w:t xml:space="preserve"> </w:t>
      </w:r>
      <w:r>
        <w:rPr>
          <w:iCs/>
          <w:i/>
        </w:rPr>
        <w:t xml:space="preserve">p</w:t>
      </w:r>
      <w:r>
        <w:t xml:space="preserve"> </w:t>
      </w:r>
      <w:r>
        <w:t xml:space="preserve">&lt; .05). cDAI is binned to three tiers (Low/Medium/High) classified from World Bank DAI and ITU DDI scores rather than fit as a continuous meta-regression coefficient, because current within-tier variance is insufficient for reliable continuous estimation. H3 is expected most consistently detectable in Follow-phase studies; in Precede-phase studies high cDAI is not expected to amplify I-P because B2B digital trade infrastructure had not yet reached critical mass regardless of country-level adoption.</w:t>
      </w:r>
    </w:p>
    <w:bookmarkEnd w:id="25"/>
    <w:bookmarkStart w:id="26" w:name="Xf3e5d346ebc5a17228cb32efda8c89f8560d468"/>
    <w:p>
      <w:pPr>
        <w:pStyle w:val="Heading3"/>
      </w:pPr>
      <w:r>
        <w:t xml:space="preserve">2.5 Publication Bias as Null Hypothesis</w:t>
      </w:r>
    </w:p>
    <w:p>
      <w:pPr>
        <w:pStyle w:val="FirstParagraph"/>
      </w:pPr>
      <w:r>
        <w:t xml:space="preserve">Given the IB literature's history of selective reporting (Borenstein et al., 2021), we test publication bias as a formal hypothesis.</w:t>
      </w:r>
    </w:p>
    <w:p>
      <w:pPr>
        <w:pStyle w:val="BodyText"/>
      </w:pPr>
      <w:r>
        <w:rPr>
          <w:bCs/>
          <w:b/>
        </w:rPr>
        <w:t xml:space="preserve">Hypothesis 4 (H4, publication bias).</w:t>
      </w:r>
      <w:r>
        <w:t xml:space="preserve"> </w:t>
      </w:r>
      <w:r>
        <w:t xml:space="preserve">Selective reporting of statistically significant positive I-P results inflates the raw pooled effect relative to the true population effect (Borenstein et al., 2021; Dickersin, 1990). Three directional predictions: (H4a) Egger's and Begg's funnel-asymmetry tests are significant; (H4b) Duval and Tweedie's (2000) trim-and-fill imputes missing left-side studies and yields a bias-adjusted</w:t>
      </w:r>
      <w:r>
        <w:t xml:space="preserve"> </w:t>
      </w:r>
      <w:r>
        <w:rPr>
          <w:iCs/>
          <w:i/>
        </w:rPr>
        <w:t xml:space="preserve">r̄</w:t>
      </w:r>
      <w:r>
        <w:t xml:space="preserve">_adj &lt;</w:t>
      </w:r>
      <w:r>
        <w:t xml:space="preserve"> </w:t>
      </w:r>
      <w:r>
        <w:rPr>
          <w:iCs/>
          <w:i/>
        </w:rPr>
        <w:t xml:space="preserve">r̄</w:t>
      </w:r>
      <w:r>
        <w:t xml:space="preserve">_raw but</w:t>
      </w:r>
      <w:r>
        <w:t xml:space="preserve"> </w:t>
      </w:r>
      <w:r>
        <w:rPr>
          <w:iCs/>
          <w:i/>
        </w:rPr>
        <w:t xml:space="preserve">r̄</w:t>
      </w:r>
      <w:r>
        <w:t xml:space="preserve">_adj &gt; 0; (H4c) Rosenthal's (1991) fail-safe</w:t>
      </w:r>
      <w:r>
        <w:t xml:space="preserve"> </w:t>
      </w:r>
      <w:r>
        <w:rPr>
          <w:iCs/>
          <w:i/>
        </w:rPr>
        <w:t xml:space="preserve">N</w:t>
      </w:r>
      <w:r>
        <w:t xml:space="preserve"> </w:t>
      </w:r>
      <w:r>
        <w:t xml:space="preserve">substantially exceeds 5</w:t>
      </w:r>
      <w:r>
        <w:rPr>
          <w:iCs/>
          <w:i/>
        </w:rPr>
        <w:t xml:space="preserve">k</w:t>
      </w:r>
      <w:r>
        <w:t xml:space="preserve"> </w:t>
      </w:r>
      <w:r>
        <w:t xml:space="preserve">+ 10 (here 1,200), confirming that the positive I-P effect is not an artifact of suppression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the three-level MARA. Solid arrows = primary I-P pooled effect (</w:t>
      </w:r>
      <w:r>
        <w:rPr>
          <w:iCs/>
          <w:i/>
        </w:rPr>
        <w:t xml:space="preserve">k</w:t>
      </w:r>
      <w:r>
        <w:t xml:space="preserve"> </w:t>
      </w:r>
      <w:r>
        <w:t xml:space="preserve">= 238 studies /</w:t>
      </w:r>
      <w:r>
        <w:t xml:space="preserve"> </w:t>
      </w:r>
      <w:r>
        <w:rPr>
          <w:iCs/>
          <w:i/>
        </w:rPr>
        <w:t xml:space="preserve">K</w:t>
      </w:r>
      <w:r>
        <w:t xml:space="preserve"> </w:t>
      </w:r>
      <w:r>
        <w:t xml:space="preserve">= 288 effects / 49 economies;</w:t>
      </w:r>
      <w:r>
        <w:t xml:space="preserve"> </w:t>
      </w:r>
      <w:r>
        <w:rPr>
          <w:iCs/>
          <w:i/>
        </w:rPr>
        <w:t xml:space="preserve">r̄</w:t>
      </w:r>
      <w:r>
        <w:t xml:space="preserve"> </w:t>
      </w:r>
      <w:r>
        <w:t xml:space="preserve">= 0.074, 95% CI [0.060, 0.088]). Dashed arrows = hypothesized moderating relationships. Three study-level moderators: ICRV regime (H1; full-sample</w:t>
      </w:r>
      <w:r>
        <w:t xml:space="preserve"> </w:t>
      </w:r>
      <w:r>
        <w:rPr>
          <w:iCs/>
          <w:i/>
        </w:rPr>
        <w:t xml:space="preserve">Q</w:t>
      </w:r>
      <w:r>
        <w:t xml:space="preserve">_M = 17.35,</w:t>
      </w:r>
      <w:r>
        <w:t xml:space="preserve"> </w:t>
      </w:r>
      <w:r>
        <w:rPr>
          <w:iCs/>
          <w:i/>
        </w:rPr>
        <w:t xml:space="preserve">p</w:t>
      </w:r>
      <w:r>
        <w:t xml:space="preserve"> </w:t>
      </w:r>
      <w:r>
        <w:t xml:space="preserve">= .002 but not robust to drop-Frontier sensitivity test</w:t>
      </w:r>
      <w:r>
        <w:t xml:space="preserve"> </w:t>
      </w:r>
      <w:r>
        <w:rPr>
          <w:iCs/>
          <w:i/>
        </w:rPr>
        <w:t xml:space="preserve">Q</w:t>
      </w:r>
      <w:r>
        <w:t xml:space="preserve">_M = 1.49,</w:t>
      </w:r>
      <w:r>
        <w:t xml:space="preserve"> </w:t>
      </w:r>
      <w:r>
        <w:rPr>
          <w:iCs/>
          <w:i/>
        </w:rPr>
        <w:t xml:space="preserve">p</w:t>
      </w:r>
      <w:r>
        <w:t xml:space="preserve"> </w:t>
      </w:r>
      <w:r>
        <w:t xml:space="preserve">= .68); cDAI tier (H3;</w:t>
      </w:r>
      <w:r>
        <w:t xml:space="preserve"> </w:t>
      </w:r>
      <w:r>
        <w:rPr>
          <w:iCs/>
          <w:i/>
        </w:rPr>
        <w:t xml:space="preserve">Q</w:t>
      </w:r>
      <w:r>
        <w:t xml:space="preserve">_M = 1.23,</w:t>
      </w:r>
      <w:r>
        <w:t xml:space="preserve"> </w:t>
      </w:r>
      <w:r>
        <w:rPr>
          <w:iCs/>
          <w:i/>
        </w:rPr>
        <w:t xml:space="preserve">p</w:t>
      </w:r>
      <w:r>
        <w:t xml:space="preserve"> </w:t>
      </w:r>
      <w:r>
        <w:t xml:space="preserve">= .541, n.s.); DPL phase (H2;</w:t>
      </w:r>
      <w:r>
        <w:t xml:space="preserve"> </w:t>
      </w:r>
      <w:r>
        <w:rPr>
          <w:iCs/>
          <w:i/>
        </w:rPr>
        <w:t xml:space="preserve">Q</w:t>
      </w:r>
      <w:r>
        <w:t xml:space="preserve">_M = 0.56,</w:t>
      </w:r>
      <w:r>
        <w:t xml:space="preserve"> </w:t>
      </w:r>
      <w:r>
        <w:rPr>
          <w:iCs/>
          <w:i/>
        </w:rPr>
        <w:t xml:space="preserve">p</w:t>
      </w:r>
      <w:r>
        <w:t xml:space="preserve"> </w:t>
      </w:r>
      <w:r>
        <w:t xml:space="preserve">= .755, n.s.). The three-level model nests</w:t>
      </w:r>
      <w:r>
        <w:t xml:space="preserve"> </w:t>
      </w:r>
      <w:r>
        <w:rPr>
          <w:iCs/>
          <w:i/>
        </w:rPr>
        <w:t xml:space="preserve">K</w:t>
      </w:r>
      <w:r>
        <w:t xml:space="preserve"> </w:t>
      </w:r>
      <w:r>
        <w:t xml:space="preserve">= 288 effects within</w:t>
      </w:r>
      <w:r>
        <w:t xml:space="preserve"> </w:t>
      </w:r>
      <w:r>
        <w:rPr>
          <w:iCs/>
          <w:i/>
        </w:rPr>
        <w:t xml:space="preserve">k</w:t>
      </w:r>
      <w:r>
        <w:t xml:space="preserve"> </w:t>
      </w:r>
      <w:r>
        <w:t xml:space="preserve">=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between-study</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total</w:t>
      </w:r>
      <w:r>
        <w:t xml:space="preserve"> </w:t>
      </w:r>
      <m:oMath>
        <m:sSup>
          <m:e>
            <m:r>
              <m:t>I</m:t>
            </m:r>
          </m:e>
          <m:sup>
            <m:r>
              <m:t>2</m:t>
            </m:r>
          </m:sup>
        </m:sSup>
      </m:oMath>
      <w:r>
        <w:t xml:space="preserve"> </w:t>
      </w:r>
      <w:r>
        <w:t xml:space="preserve">= 87.8%. Publication bias (H4 confirmed): Egger's</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Begg's</w:t>
      </w:r>
      <w:r>
        <w:t xml:space="preserve"> </w:t>
      </w:r>
      <m:oMath>
        <m:r>
          <m:t>τ</m:t>
        </m:r>
      </m:oMath>
      <w:r>
        <w:t xml:space="preserve"> </w:t>
      </w:r>
      <w:r>
        <w:t xml:space="preserve">= −0.134 (</w:t>
      </w:r>
      <w:r>
        <w:rPr>
          <w:iCs/>
          <w:i/>
        </w:rPr>
        <w:t xml:space="preserve">p</w:t>
      </w:r>
      <w:r>
        <w:t xml:space="preserve"> </w:t>
      </w:r>
      <w:r>
        <w:t xml:space="preserve">= .0007); trim-and-fill imputes</w:t>
      </w:r>
      <w:r>
        <w:t xml:space="preserve"> </w:t>
      </w:r>
      <w:r>
        <w:rPr>
          <w:iCs/>
          <w:i/>
        </w:rPr>
        <w:t xml:space="preserve">k</w:t>
      </w:r>
      <w:r>
        <w:t xml:space="preserve"> </w:t>
      </w:r>
      <w:r>
        <w:t xml:space="preserve">= 58, adjusted</w:t>
      </w:r>
      <w:r>
        <w:t xml:space="preserve"> </w:t>
      </w:r>
      <w:r>
        <w:rPr>
          <w:iCs/>
          <w:i/>
        </w:rPr>
        <w:t xml:space="preserve">r</w:t>
      </w:r>
      <w:r>
        <w:t xml:space="preserve"> </w:t>
      </w:r>
      <w:r>
        <w:t xml:space="preserve">= .035; fail-safe</w:t>
      </w:r>
      <w:r>
        <w:t xml:space="preserve"> </w:t>
      </w:r>
      <w:r>
        <w:rPr>
          <w:iCs/>
          <w:i/>
        </w:rPr>
        <w:t xml:space="preserve">N</w:t>
      </w:r>
      <w:r>
        <w:t xml:space="preserve"> </w:t>
      </w:r>
      <w:r>
        <w:t xml:space="preserve">= 45,848. Abbreviations: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6"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p>
      <w:pPr>
        <w:pStyle w:val="BodyText"/>
      </w:pPr>
      <w:r>
        <w:rPr>
          <w:bCs/>
          <w:b/>
        </w:rPr>
        <w:t xml:space="preserve">Deviations from pre-registration (PRISMA 2020, Item 24c).</w:t>
      </w:r>
      <w:r>
        <w:t xml:space="preserve"> </w:t>
      </w:r>
      <w:r>
        <w:t xml:space="preserve">Five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Fifth, the drop-Frontier sensitivity analysis on ICRV (reported in §4.3) and the construct-validity restriction of cDAI moderation to the Span+Follow subsample (reported in §4.4) were added in response to data features identified during analysis; we report both alongside the pre-registered full-sample tests for transparency, with the post-hoc tests interpreted as confirmatory diagnostics rather than primary findings. The extraction codebook accompanying the data (v1.1) documents the coding actually applied; the registered v1.0 scheme remains in the frozen OSF record.</w:t>
      </w:r>
    </w:p>
    <w:bookmarkEnd w:id="33"/>
    <w:bookmarkStart w:id="37"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(title/abstract, then full-text), with third-reviewer adjudication on disagreements. Inclusion required: private-sector firm samples with measured internationalization (FSTS, entropy, count-of-markets, transnationality index, or FDI-to-investment ratio) and quantitative financial performance (accounting, market, or productivity-based); convertible effect-size statistics (Pearson</w:t>
      </w:r>
      <w:r>
        <w:t xml:space="preserve"> </w:t>
      </w:r>
      <w:r>
        <w:rPr>
          <w:iCs/>
          <w:i/>
        </w:rPr>
        <w:t xml:space="preserve">r</w:t>
      </w:r>
      <w:r>
        <w:t xml:space="preserve">, regression β,</w:t>
      </w:r>
      <w:r>
        <w:t xml:space="preserve"> </w:t>
      </w:r>
      <w:r>
        <w:rPr>
          <w:iCs/>
          <w:i/>
        </w:rPr>
        <w:t xml:space="preserve">t</w:t>
      </w:r>
      <w:r>
        <w:t xml:space="preserve">-statistic with</w:t>
      </w:r>
      <w:r>
        <w:t xml:space="preserve"> </w:t>
      </w:r>
      <w:r>
        <w:rPr>
          <w:iCs/>
          <w:i/>
        </w:rPr>
        <w:t xml:space="preserve">df</w:t>
      </w:r>
      <w:r>
        <w:t xml:space="preserve">, or</w:t>
      </w:r>
      <w:r>
        <w:t xml:space="preserve"> </w:t>
      </w:r>
      <w:r>
        <w:rPr>
          <w:iCs/>
          <w:i/>
        </w:rPr>
        <w:t xml:space="preserve">F</w:t>
      </w:r>
      <w:r>
        <w:t xml:space="preserve">-statistic with</w:t>
      </w:r>
      <w:r>
        <w:t xml:space="preserve"> </w:t>
      </w:r>
      <w:r>
        <w:rPr>
          <w:iCs/>
          <w:i/>
        </w:rPr>
        <w:t xml:space="preserve">df</w:t>
      </w:r>
      <w:r>
        <w:t xml:space="preserve">₁ = 1); English or Vietnamese language; and peer-reviewed journal articles or articles in press with DOI. Excluded: state-owned enterprises (government equity &gt; 50%), financial-sector firms (SIC 6000–6999), wholly domestic firms, qualitative case studies, simulations, narrative/ordinal performance measures, and grey literature (dissertations, theses, working papers, conference papers, book chapters, reports). ICRV regime is assigned globally using World Bank WGI Rule of Law (2023 vintage); an Asia-Pacific subsample is available as a sensitivity analysis. The full criteria matrix is provided as</w:t>
      </w:r>
      <w:r>
        <w:t xml:space="preserve"> </w:t>
      </w:r>
      <w:r>
        <w:rPr>
          <w:bCs/>
          <w:b/>
        </w:rPr>
        <w:t xml:space="preserve">Supp-T1</w:t>
      </w:r>
      <w:r>
        <w:t xml:space="preserve">.</w:t>
      </w:r>
    </w:p>
    <w:p>
      <w:pPr>
        <w:pStyle w:val="BodyText"/>
      </w:pPr>
      <w:r>
        <w:rPr>
          <w:bCs/>
          <w:b/>
        </w:rPr>
        <w:t xml:space="preserve">PRISMA 2020 flow summary (two-path design; Figure 7).</w:t>
      </w:r>
      <w:r>
        <w:t xml:space="preserve"> </w:t>
      </w:r>
      <w:r>
        <w:t xml:space="preserve">The corpus analysed in this article is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w:t>
      </w:r>
      <w:r>
        <w:t xml:space="preserve"> </w:t>
      </w:r>
      <w:r>
        <w:rPr>
          <w:bCs/>
          <w:b/>
        </w:rPr>
        <w:t xml:space="preserve">Path A</w:t>
      </w:r>
      <w:r>
        <w:t xml:space="preserve">, assembled from backward and forward citation tracking of five anchor meta-analyses (Bausch &amp; Krist, 2007; Kirca et al., 2012; Marano et al., 2016; Schwens et al., 2018; Arte &amp; Larimo, 2022) plus hand-search (≈ 497 records), screened against the eligibility criteria above and double-entry verified. Path A is the</w:t>
      </w:r>
      <w:r>
        <w:t xml:space="preserve"> </w:t>
      </w:r>
      <w:r>
        <w:rPr>
          <w:iCs/>
          <w:i/>
        </w:rPr>
        <w:t xml:space="preserve">definitive corpus</w:t>
      </w:r>
      <w:r>
        <w:t xml:space="preserve"> </w:t>
      </w:r>
      <w:r>
        <w:t xml:space="preserve">for the analyses reported here: the eligibility criteria, extraction protocol, and pre-registered hypotheses all apply to it as a self-contained sample, and the substantive conclusions of the article (including the publication-bias paradox documented in §5.2) stand on Path A alone.</w:t>
      </w:r>
      <w:r>
        <w:t xml:space="preserve"> </w:t>
      </w:r>
      <w:r>
        <w:rPr>
          <w:bCs/>
          <w:b/>
        </w:rPr>
        <w:t xml:space="preserve">Path B</w:t>
      </w:r>
      <w:r>
        <w:t xml:space="preserve"> </w:t>
      </w:r>
      <w:r>
        <w:t xml:space="preserve">is a</w:t>
      </w:r>
      <w:r>
        <w:t xml:space="preserve"> </w:t>
      </w:r>
      <w:r>
        <w:rPr>
          <w:iCs/>
          <w:i/>
        </w:rPr>
        <w:t xml:space="preserve">prospective extension</w:t>
      </w:r>
      <w:r>
        <w:t xml:space="preserve"> </w:t>
      </w:r>
      <w:r>
        <w:t xml:space="preserve">via systematic WoS + Scopus search (20 May 2026): 3,263 records → 795 duplicates removed → 1,397 L1 excluded → 782 L2 screened over 8 rounds, yielding 785 Y / 1,694 N / 3 UNSURE; 741 of 785 Y carry DOIs, 547 await full-text extraction. We disclose Path B to document the planned future replication of the present article's results on a corpus of</w:t>
      </w:r>
      <w:r>
        <w:t xml:space="preserve"> </w:t>
      </w:r>
      <w:r>
        <w:rPr>
          <w:iCs/>
          <w:i/>
        </w:rPr>
        <w:t xml:space="preserve">k</w:t>
      </w:r>
      <w:r>
        <w:t xml:space="preserve"> </w:t>
      </w:r>
      <w:r>
        <w:t xml:space="preserve">≈ 600–700, not as a condition on the validity of the current findings. Full flow (Figure 7), screening trace, and pipeline status are in</w:t>
      </w:r>
      <w:r>
        <w:t xml:space="preserve"> </w:t>
      </w:r>
      <w:r>
        <w:rPr>
          <w:bCs/>
          <w:b/>
        </w:rPr>
        <w:t xml:space="preserve">Supp-A</w:t>
      </w:r>
      <w:r>
        <w:t xml:space="preserve">,</w:t>
      </w:r>
      <w:r>
        <w:t xml:space="preserve"> </w:t>
      </w:r>
      <w:r>
        <w:rPr>
          <w:bCs/>
          <w:b/>
        </w:rPr>
        <w:t xml:space="preserve">Supp-T5</w:t>
      </w:r>
      <w:r>
        <w:t xml:space="preserve">, and</w:t>
      </w:r>
      <w:r>
        <w:t xml:space="preserve"> </w:t>
      </w:r>
      <w:r>
        <w:rPr>
          <w:rStyle w:val="VerbatimChar"/>
        </w:rPr>
        <w:t xml:space="preserve">prisma_extraction_pipeline_status.md</w:t>
      </w:r>
      <w:r>
        <w:t xml:space="preserve"> </w:t>
      </w:r>
      <w:r>
        <w:t xml:space="preserve">on OSF.</w:t>
      </w:r>
    </w:p>
    <w:p>
      <w:pPr>
        <w:pStyle w:val="BodyText"/>
      </w:pPr>
      <w:r>
        <w:drawing>
          <wp:inline>
            <wp:extent cx="5753100" cy="7273882"/>
            <wp:effectExtent b="0" l="0" r="0" t="0"/>
            <wp:docPr descr="Figure 7. PRISMA 2020 two-path flow diagram. Path A (left, blue): the analyzed corpus k = 238 / K = 288, complete. Path B (right, orange-amber): formal WoS + Scopus expansion, 547 records pending full-text extraction. The final analyzed corpus pools to Path A only at the current build." title="" id="35" name="Picture"/>
            <a:graphic>
              <a:graphicData uri="http://schemas.openxmlformats.org/drawingml/2006/picture">
                <pic:pic>
                  <pic:nvPicPr>
                    <pic:cNvPr descr="figures/figure_prisma_2020_flow.png" id="36" name="Picture"/>
                    <pic:cNvPicPr>
                      <a:picLocks noChangeArrowheads="1" noChangeAspect="1"/>
                    </pic:cNvPicPr>
                  </pic:nvPicPr>
                  <pic:blipFill>
                    <a:blip r:embed="rId34"/>
                    <a:stretch>
                      <a:fillRect/>
                    </a:stretch>
                  </pic:blipFill>
                  <pic:spPr bwMode="auto">
                    <a:xfrm>
                      <a:off x="0" y="0"/>
                      <a:ext cx="5753100" cy="7273882"/>
                    </a:xfrm>
                    <a:prstGeom prst="rect">
                      <a:avLst/>
                    </a:prstGeom>
                    <a:noFill/>
                    <a:ln w="9525">
                      <a:noFill/>
                      <a:headEnd/>
                      <a:tailEnd/>
                    </a:ln>
                  </pic:spPr>
                </pic:pic>
              </a:graphicData>
            </a:graphic>
          </wp:inline>
        </w:drawing>
      </w:r>
    </w:p>
    <w:bookmarkEnd w:id="37"/>
    <w:bookmarkStart w:id="41" w:name="X1d41e663e785934d4feadbd21b81f03c51339a8"/>
    <w:p>
      <w:pPr>
        <w:pStyle w:val="Heading3"/>
      </w:pPr>
      <w:r>
        <w:t xml:space="preserve">3.3 Data Extraction and Quality Assurance</w:t>
      </w:r>
    </w:p>
    <w:bookmarkStart w:id="38"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8"/>
    <w:bookmarkStart w:id="39" w:name="X3517c67dfe005a0cb42aad932692446db1a0273"/>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9"/>
    <w:bookmarkStart w:id="40"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40"/>
    <w:bookmarkEnd w:id="41"/>
    <w:bookmarkStart w:id="42"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1"/>
        </w:numPr>
        <w:pStyle w:val="Compact"/>
      </w:pPr>
      <w:r>
        <w:rPr>
          <w:iCs/>
          <w:i/>
        </w:rPr>
        <w:t xml:space="preserve">Country of origin</w:t>
      </w:r>
      <w:r>
        <w:t xml:space="preserve">, ISO 3166-1 alpha-3 code; multi-country studies coded as "pooled" with ICRV regime assigned to the modal country if one country contributes</w:t>
      </w:r>
      <w:r>
        <w:t xml:space="preserve"> </w:t>
      </w:r>
      <m:oMath>
        <m:r>
          <m:rPr>
            <m:sty m:val="p"/>
          </m:rPr>
          <m:t>≥</m:t>
        </m:r>
      </m:oMath>
      <w:r>
        <w:t xml:space="preserve"> </w:t>
      </w:r>
      <w:r>
        <w:t xml:space="preserve">60% of the sample, otherwise coded as "cross-regime"</w:t>
      </w:r>
    </w:p>
    <w:p>
      <w:pPr>
        <w:numPr>
          <w:ilvl w:val="0"/>
          <w:numId w:val="1001"/>
        </w:numPr>
        <w:pStyle w:val="Compact"/>
      </w:pPr>
      <w:r>
        <w:rPr>
          <w:iCs/>
          <w:i/>
        </w:rPr>
        <w:t xml:space="preserve">Industry sector</w:t>
      </w:r>
      <w:r>
        <w:t xml:space="preserve">, SIC broad division: manufacturing (SIC 20–39), services (SIC 40–89), or mixed/unspecified</w:t>
      </w:r>
    </w:p>
    <w:p>
      <w:pPr>
        <w:numPr>
          <w:ilvl w:val="0"/>
          <w:numId w:val="1001"/>
        </w:numPr>
        <w:pStyle w:val="Compact"/>
      </w:pPr>
      <w:r>
        <w:rPr>
          <w:iCs/>
          <w:i/>
        </w:rPr>
        <w:t xml:space="preserve">DOI operationalization</w:t>
      </w:r>
      <w:r>
        <w:t xml:space="preserve">, FSTS (foreign sales ÷ total sales); entropy index (Jacquemin &amp; Berry, 1979); count of foreign markets or subsidiaries; transnationality index (UNCTAD composite)</w:t>
      </w:r>
    </w:p>
    <w:p>
      <w:pPr>
        <w:numPr>
          <w:ilvl w:val="0"/>
          <w:numId w:val="1001"/>
        </w:numPr>
        <w:pStyle w:val="Compact"/>
      </w:pPr>
      <w:r>
        <w:rPr>
          <w:iCs/>
          <w:i/>
        </w:rPr>
        <w:t xml:space="preserve">Performance operationalization</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 "Precede" (median</w:t>
      </w:r>
      <w:r>
        <w:t xml:space="preserve"> </w:t>
      </w:r>
      <m:oMath>
        <m:r>
          <m:rPr>
            <m:sty m:val="p"/>
          </m:rPr>
          <m:t>≤</m:t>
        </m:r>
      </m:oMath>
      <w:r>
        <w:t xml:space="preserve"> </w:t>
      </w:r>
      <w:r>
        <w:t xml:space="preserve">2008), "Span" (median 2009–2013), "Follow" (median</w:t>
      </w:r>
      <w:r>
        <w:t xml:space="preserve"> </w:t>
      </w:r>
      <m:oMath>
        <m:r>
          <m:rPr>
            <m:sty m:val="p"/>
          </m:rPr>
          <m:t>≥</m:t>
        </m:r>
      </m:oMath>
      <w:r>
        <w:t xml:space="preserve"> </w:t>
      </w:r>
      <w:r>
        <w:t xml:space="preserve">2014). Studies where data years cannot be determined from the paper are coded as "Span" by default and flagged.</w:t>
      </w:r>
    </w:p>
    <w:bookmarkEnd w:id="42"/>
    <w:bookmarkStart w:id="43"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three variance components: Level 1 known sampling variance</w:t>
      </w:r>
      <w:r>
        <w:t xml:space="preserve"> </w:t>
      </w:r>
      <w:r>
        <w:rPr>
          <w:iCs/>
          <w:i/>
        </w:rPr>
        <w:t xml:space="preserve">v</w:t>
      </w:r>
      <w:r>
        <w:t xml:space="preserve">_ij = 1/(</w:t>
      </w:r>
      <w:r>
        <w:rPr>
          <w:iCs/>
          <w:i/>
        </w:rPr>
        <w:t xml:space="preserve">N</w:t>
      </w:r>
      <w:r>
        <w:t xml:space="preserve">_ij − 3); Level 2 within-study heterogeneity</w:t>
      </w:r>
      <w:r>
        <w:t xml:space="preserve"> </w:t>
      </w:r>
      <m:oMath>
        <m:sSubSup>
          <m:e>
            <m:r>
              <m:t>σ</m:t>
            </m:r>
          </m:e>
          <m:sub>
            <m:d>
              <m:dPr>
                <m:begChr m:val="("/>
                <m:endChr m:val=")"/>
                <m:sepChr m:val=""/>
                <m:grow/>
              </m:dPr>
              <m:e>
                <m:r>
                  <m:t>2</m:t>
                </m:r>
              </m:e>
            </m:d>
          </m:sub>
          <m:sup>
            <m:r>
              <m:t>2</m:t>
            </m:r>
          </m:sup>
        </m:sSubSup>
      </m:oMath>
      <w:r>
        <w:t xml:space="preserve"> </w:t>
      </w:r>
      <w:r>
        <w:t xml:space="preserve">capturing effect-to-effect variation within papers; and Level 3 between-study heterogeneity</w:t>
      </w:r>
      <w:r>
        <w:t xml:space="preserve"> </w:t>
      </w:r>
      <m:oMath>
        <m:sSubSup>
          <m:e>
            <m:r>
              <m:t>σ</m:t>
            </m:r>
          </m:e>
          <m:sub>
            <m:d>
              <m:dPr>
                <m:begChr m:val="("/>
                <m:endChr m:val=")"/>
                <m:sepChr m:val=""/>
                <m:grow/>
              </m:dPr>
              <m:e>
                <m:r>
                  <m:t>3</m:t>
                </m:r>
              </m:e>
            </m:d>
          </m:sub>
          <m:sup>
            <m:r>
              <m:t>2</m:t>
            </m:r>
          </m:sup>
        </m:sSubSup>
      </m:oMath>
      <w:r>
        <w:t xml:space="preserve"> </w:t>
      </w:r>
      <w:r>
        <w:t xml:space="preserve">on which the moderator regression is specified,</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The moderator matrix</w:t>
      </w:r>
      <w:r>
        <w:t xml:space="preserve"> </w:t>
      </w:r>
      <m:oMath>
        <m:sSub>
          <m:e>
            <m:r>
              <m:rPr>
                <m:sty m:val="b"/>
              </m:rPr>
              <m:t>X</m:t>
            </m:r>
          </m:e>
          <m:sub>
            <m:r>
              <m:t>j</m:t>
            </m:r>
          </m:sub>
        </m:sSub>
      </m:oMath>
      <w:r>
        <w:t xml:space="preserve"> </w:t>
      </w:r>
      <w:r>
        <w:t xml:space="preserve">includes ICRV regime dummies (Regime V reference), continuous cDAI, DPL phase dummies (Precede reference), plus four standard controls. Parameters are estimated by REML using</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compound-symmetric within-study covariance; all</w:t>
      </w:r>
      <w:r>
        <w:t xml:space="preserve"> </w:t>
      </w:r>
      <w:r>
        <w:rPr>
          <w:iCs/>
          <w:i/>
        </w:rPr>
        <w:t xml:space="preserve">r</w:t>
      </w:r>
      <w:r>
        <w:t xml:space="preserve"> </w:t>
      </w:r>
      <w:r>
        <w:t xml:space="preserve">are Fisher-</w:t>
      </w:r>
      <w:r>
        <w:rPr>
          <w:iCs/>
          <w:i/>
        </w:rPr>
        <w:t xml:space="preserve">z</w:t>
      </w:r>
      <w:r>
        <w:t xml:space="preserve"> </w:t>
      </w:r>
      <w:r>
        <w:t xml:space="preserve">transformed before fitting and back-transformed for reporting. Heterogeneity is decomposed using the Higgins–Thompson typical-variance formulation for multilevel models (Cheung, 2014, eq. 15). Moderator significance is assessed via the omnibus</w:t>
      </w:r>
      <w:r>
        <w:t xml:space="preserve"> </w:t>
      </w:r>
      <w:r>
        <w:rPr>
          <w:iCs/>
          <w:i/>
        </w:rPr>
        <w:t xml:space="preserve">Q</w:t>
      </w:r>
      <w:r>
        <w:t xml:space="preserve">_M on</w:t>
      </w:r>
      <w:r>
        <w:t xml:space="preserve"> </w:t>
      </w:r>
      <w:r>
        <w:rPr>
          <w:iCs/>
          <w:i/>
        </w:rPr>
        <w:t xml:space="preserve">p</w:t>
      </w:r>
      <w:r>
        <w:t xml:space="preserve"> </w:t>
      </w:r>
      <w:r>
        <w:t xml:space="preserve">− 1 df (Holm–Bonferroni pairwise correction) for categorical moderators and Wald</w:t>
      </w:r>
      <w:r>
        <w:t xml:space="preserve"> </w:t>
      </w:r>
      <w:r>
        <w:rPr>
          <w:iCs/>
          <w:i/>
        </w:rPr>
        <w:t xml:space="preserve">z</w:t>
      </w:r>
      <w:r>
        <w:t xml:space="preserve"> </w:t>
      </w:r>
      <w:r>
        <w:t xml:space="preserve">for continuous cDAI. Full model equations and estimator rationale are provided as</w:t>
      </w:r>
      <w:r>
        <w:t xml:space="preserve"> </w:t>
      </w:r>
      <w:r>
        <w:rPr>
          <w:bCs/>
          <w:b/>
        </w:rPr>
        <w:t xml:space="preserve">Supp-M</w:t>
      </w:r>
      <w:r>
        <w:t xml:space="preserve">.</w:t>
      </w:r>
    </w:p>
    <w:bookmarkEnd w:id="43"/>
    <w:bookmarkStart w:id="44" w:name="X2f1abb1755f8cc5892d8e5725c0dbd361d50806"/>
    <w:p>
      <w:pPr>
        <w:pStyle w:val="Heading3"/>
      </w:pPr>
      <w:r>
        <w:t xml:space="preserve">3.6 Publication Bias Assessment</w:t>
      </w:r>
    </w:p>
    <w:p>
      <w:pPr>
        <w:pStyle w:val="FirstParagraph"/>
      </w:pPr>
      <w:r>
        <w:t xml:space="preserve">Four complementary tests follow Borenstein et al. (2021, ch. 30) and Vevea and Woods (2005): (i)</w:t>
      </w:r>
      <w:r>
        <w:t xml:space="preserve"> </w:t>
      </w:r>
      <w:r>
        <w:rPr>
          <w:bCs/>
          <w:b/>
        </w:rPr>
        <w:t xml:space="preserve">Egger's weighted regression</w:t>
      </w:r>
      <w:r>
        <w:t xml:space="preserve"> </w:t>
      </w:r>
      <w:r>
        <w:t xml:space="preserve">(intercept tests funnel-plot asymmetry); (ii)</w:t>
      </w:r>
      <w:r>
        <w:t xml:space="preserve"> </w:t>
      </w:r>
      <w:r>
        <w:rPr>
          <w:bCs/>
          <w:b/>
        </w:rPr>
        <w:t xml:space="preserve">Begg and Mazumdar's rank correlation</w:t>
      </w:r>
      <w:r>
        <w:t xml:space="preserve"> </w:t>
      </w:r>
      <w:r>
        <w:t xml:space="preserve">(non-parametric, less outlier-sensitive); (iii)</w:t>
      </w:r>
      <w:r>
        <w:t xml:space="preserve"> </w:t>
      </w:r>
      <w:r>
        <w:rPr>
          <w:bCs/>
          <w:b/>
        </w:rPr>
        <w:t xml:space="preserve">trim-and-fill</w:t>
      </w:r>
      <w:r>
        <w:t xml:space="preserve"> </w:t>
      </w:r>
      <w:r>
        <w:t xml:space="preserve">(Duval &amp; Tweedie, 2000; imputes missing left-side studies, re-estimates pooled effect); (iv)</w:t>
      </w:r>
      <w:r>
        <w:t xml:space="preserve"> </w:t>
      </w:r>
      <w:r>
        <w:rPr>
          <w:bCs/>
          <w:b/>
        </w:rPr>
        <w:t xml:space="preserve">Orwin's fail-safe</w:t>
      </w:r>
      <w:r>
        <w:rPr>
          <w:bCs/>
          <w:b/>
        </w:rPr>
        <w:t xml:space="preserve"> </w:t>
      </w:r>
      <w:r>
        <w:rPr>
          <w:iCs/>
          <w:i/>
          <w:bCs/>
          <w:b/>
        </w:rPr>
        <w:t xml:space="preserve">N</w:t>
      </w:r>
      <w:r>
        <w:t xml:space="preserve"> </w:t>
      </w:r>
      <w:r>
        <w:t xml:space="preserve">(1983; number of null-effect studies required to push pooled</w:t>
      </w:r>
      <w:r>
        <w:t xml:space="preserve"> </w:t>
      </w:r>
      <w:r>
        <w:rPr>
          <w:iCs/>
          <w:i/>
        </w:rPr>
        <w:t xml:space="preserve">r</w:t>
      </w:r>
      <w:r>
        <w:t xml:space="preserve"> </w:t>
      </w:r>
      <w:r>
        <w:t xml:space="preserve">below</w:t>
      </w:r>
      <w:r>
        <w:t xml:space="preserve"> </w:t>
      </w:r>
      <w:r>
        <w:rPr>
          <w:iCs/>
          <w:i/>
        </w:rPr>
        <w:t xml:space="preserve">r</w:t>
      </w:r>
      <w:r>
        <w:t xml:space="preserve"> </w:t>
      </w:r>
      <w:r>
        <w:t xml:space="preserve">= 0.10; benchmark 5</w:t>
      </w:r>
      <w:r>
        <w:rPr>
          <w:iCs/>
          <w:i/>
        </w:rPr>
        <w:t xml:space="preserve">k</w:t>
      </w:r>
      <w:r>
        <w:t xml:space="preserve"> </w:t>
      </w:r>
      <w:r>
        <w:t xml:space="preserve">+ 10 per Rosenthal, 1991). Trim-and-fill is known to over-correct under high heterogeneity (Terrin et al., 2003); we therefore interpret its adjusted estimate as an upper-bound attenuation rather than a point estimate of the true population effect. Test specifications are in</w:t>
      </w:r>
      <w:r>
        <w:t xml:space="preserve"> </w:t>
      </w:r>
      <w:r>
        <w:rPr>
          <w:bCs/>
          <w:b/>
        </w:rPr>
        <w:t xml:space="preserve">Supp-M</w:t>
      </w:r>
      <w:r>
        <w:t xml:space="preserve">.</w:t>
      </w:r>
    </w:p>
    <w:bookmarkEnd w:id="44"/>
    <w:bookmarkStart w:id="45" w:name="Xe36430cf7d8e0a8c6df93020e9507d5e203e939"/>
    <w:p>
      <w:pPr>
        <w:pStyle w:val="Heading3"/>
      </w:pPr>
      <w:r>
        <w:t xml:space="preserve">3.7 Robustness Checks</w:t>
      </w:r>
    </w:p>
    <w:p>
      <w:pPr>
        <w:pStyle w:val="FirstParagraph"/>
      </w:pPr>
      <w:r>
        <w:t xml:space="preserve">Five pre-registered checks evaluate sensitivity to modelling choices: (1) two-level vs. three-level estimator comparison; (2) leave-one-out influence diagnostics (Cook's distance &gt; 4/</w:t>
      </w:r>
      <w:r>
        <w:rPr>
          <w:iCs/>
          <w:i/>
        </w:rPr>
        <w:t xml:space="preserve">k</w:t>
      </w:r>
      <w:r>
        <w:t xml:space="preserve">); (3) FSTS-only DOI restriction; (4) WGI composite governance index substituted for Rule of Law as the ICRV classifier (same percentile thresholds); (5) post-2000 temporal restriction (</w:t>
      </w:r>
      <w:r>
        <w:rPr>
          <w:iCs/>
          <w:i/>
        </w:rPr>
        <w:t xml:space="preserve">k</w:t>
      </w:r>
      <w:r>
        <w:t xml:space="preserve"> </w:t>
      </w:r>
      <w:r>
        <w:t xml:space="preserve">≈ 180) to test vintage confounding of DPL phase. Detailed specifications are provided in</w:t>
      </w:r>
      <w:r>
        <w:t xml:space="preserve"> </w:t>
      </w:r>
      <w:r>
        <w:rPr>
          <w:bCs/>
          <w:b/>
        </w:rPr>
        <w:t xml:space="preserve">Supp-M</w:t>
      </w:r>
      <w:r>
        <w:t xml:space="preserve">.</w:t>
      </w:r>
    </w:p>
    <w:p>
      <w:r>
        <w:pict>
          <v:rect style="width:0;height:1.5pt" o:hralign="center" o:hrstd="t" o:hr="t"/>
        </w:pict>
      </w:r>
    </w:p>
    <w:bookmarkEnd w:id="45"/>
    <w:bookmarkEnd w:id="46"/>
    <w:bookmarkStart w:id="69" w:name="X121719332867ee227f0a04b486098cee978c6e6"/>
    <w:p>
      <w:pPr>
        <w:pStyle w:val="Heading2"/>
      </w:pPr>
      <w:r>
        <w:t xml:space="preserve">4. Results</w:t>
      </w:r>
    </w:p>
    <w:bookmarkStart w:id="50" w:name="X04aea52a138d4b1fe1efc2014400b089b77c5ce"/>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BodyText"/>
      </w:pPr>
      <w:r>
        <w:drawing>
          <wp:inline>
            <wp:extent cx="5753100" cy="2547026"/>
            <wp:effectExtent b="0" l="0" r="0" t="0"/>
            <wp:docPr descr="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 title="" id="48" name="Picture"/>
            <a:graphic>
              <a:graphicData uri="http://schemas.openxmlformats.org/drawingml/2006/picture">
                <pic:pic>
                  <pic:nvPicPr>
                    <pic:cNvPr descr="figures/figure6_year_distribution.png" id="49" name="Picture"/>
                    <pic:cNvPicPr>
                      <a:picLocks noChangeArrowheads="1" noChangeAspect="1"/>
                    </pic:cNvPicPr>
                  </pic:nvPicPr>
                  <pic:blipFill>
                    <a:blip r:embed="rId47"/>
                    <a:stretch>
                      <a:fillRect/>
                    </a:stretch>
                  </pic:blipFill>
                  <pic:spPr bwMode="auto">
                    <a:xfrm>
                      <a:off x="0" y="0"/>
                      <a:ext cx="5753100" cy="2547026"/>
                    </a:xfrm>
                    <a:prstGeom prst="rect">
                      <a:avLst/>
                    </a:prstGeom>
                    <a:noFill/>
                    <a:ln w="9525">
                      <a:noFill/>
                      <a:headEnd/>
                      <a:tailEnd/>
                    </a:ln>
                  </pic:spPr>
                </pic:pic>
              </a:graphicData>
            </a:graphic>
          </wp:inline>
        </w:drawing>
      </w:r>
    </w:p>
    <w:bookmarkEnd w:id="50"/>
    <w:bookmarkStart w:id="5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51"/>
    <w:bookmarkStart w:id="55" w:name="X58c962719f77434e3e9b87bd1741b5544c6666a"/>
    <w:p>
      <w:pPr>
        <w:pStyle w:val="Heading3"/>
      </w:pPr>
      <w:r>
        <w:t xml:space="preserve">4.3 ICRV Regime Moderation (H1)</w:t>
      </w:r>
    </w:p>
    <w:p>
      <w:pPr>
        <w:pStyle w:val="FirstParagraph"/>
      </w:pPr>
      <w:r>
        <w:rPr>
          <w:bCs/>
          <w:b/>
        </w:rPr>
        <w:t xml:space="preserve">H1 is not robustly supported.</w:t>
      </w:r>
      <w:r>
        <w:t xml:space="preserve"> </w:t>
      </w:r>
      <w:r>
        <w:t xml:space="preserve">The pre-registered between-regime test on the four well-populated core regimes (I/II/III/MX,</w:t>
      </w:r>
      <w:r>
        <w:t xml:space="preserve"> </w:t>
      </w:r>
      <w:r>
        <w:rPr>
          <w:iCs/>
          <w:i/>
        </w:rPr>
        <w:t xml:space="preserve">K</w:t>
      </w:r>
      <w:r>
        <w:t xml:space="preserve"> </w:t>
      </w:r>
      <w:r>
        <w:t xml:space="preserve">= 285) yields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reported below. The full-sample omnibus including the three-effect Frontier cell does reach significance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as the subgroup table makes clear this result is generated almost entirely by the Frontier cell rather than by a monotone institutional gradient. The directional Exploratory Propositions E1a (Advanced largest) and E1b (Frontier smallest) are</w:t>
      </w:r>
      <w:r>
        <w:t xml:space="preserve"> </w:t>
      </w:r>
      <w:r>
        <w:rPr>
          <w:bCs/>
          <w:b/>
        </w:rPr>
        <w:t xml:space="preserve">not</w:t>
      </w:r>
      <w:r>
        <w:t xml:space="preserve"> </w:t>
      </w:r>
      <w:r>
        <w:t xml:space="preserve">supported.</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regime forest plot, subgroup pooled effects with 95% CI" title="" id="53" name="Picture"/>
            <a:graphic>
              <a:graphicData uri="http://schemas.openxmlformats.org/drawingml/2006/picture">
                <pic:pic>
                  <pic:nvPicPr>
                    <pic:cNvPr descr="figures/figure2_icrv_forest.png" id="54" name="Picture"/>
                    <pic:cNvPicPr>
                      <a:picLocks noChangeArrowheads="1" noChangeAspect="1"/>
                    </pic:cNvPicPr>
                  </pic:nvPicPr>
                  <pic:blipFill>
                    <a:blip r:embed="rId52"/>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55"/>
    <w:bookmarkStart w:id="56"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not supported.</w:t>
      </w:r>
    </w:p>
    <w:p>
      <w:pPr>
        <w:pStyle w:val="BodyText"/>
      </w:pPr>
      <w:r>
        <w:t xml:space="preserve">A construct-validity caveat applies to the full-sample test. cDAI scores are sourced from the World Bank Digital Adoption Index (2016 vintage) and the ITU Digital Development Index (2017–2026); for Precede-phase studies (median data year ≤ 2008;</w:t>
      </w:r>
      <w:r>
        <w:t xml:space="preserve"> </w:t>
      </w:r>
      <w:r>
        <w:rPr>
          <w:iCs/>
          <w:i/>
        </w:rPr>
        <w:t xml:space="preserve">K</w:t>
      </w:r>
      <w:r>
        <w:t xml:space="preserve"> </w:t>
      </w:r>
      <w:r>
        <w:t xml:space="preserve">= 100) cDAI is back-projected through a period in which the digital-adoption construct did not yet validly describe national economies. The Span+Follow subsample (</w:t>
      </w:r>
      <w:r>
        <w:rPr>
          <w:iCs/>
          <w:i/>
        </w:rPr>
        <w:t xml:space="preserve">K</w:t>
      </w:r>
      <w:r>
        <w:t xml:space="preserve"> </w:t>
      </w:r>
      <w:r>
        <w:t xml:space="preserve">≈ 188, median data year ≥ 2009) is the construct-valid test window. A subsample restriction yields no qualitative change to the H3 inference, but the restricted test remains the conceptually preferred specification and is reported as a sensitivity check (</w:t>
      </w:r>
      <w:r>
        <w:rPr>
          <w:bCs/>
          <w:b/>
        </w:rPr>
        <w:t xml:space="preserve">Supp-T2</w:t>
      </w:r>
      <w:r>
        <w:t xml:space="preserve">). We retain the full-sample result as the headline only because the pre-registration specified it.</w:t>
      </w:r>
    </w:p>
    <w:p>
      <w:pPr>
        <w:pStyle w:val="BodyText"/>
      </w:pPr>
      <w:r>
        <w:t xml:space="preserve">Subgroup means are non-monotone (</w:t>
      </w:r>
      <w:r>
        <w:rPr>
          <w:iCs/>
          <w:i/>
        </w:rPr>
        <w:t xml:space="preserve">r̄</w:t>
      </w:r>
      <w:r>
        <w:t xml:space="preserve">[Low] = 0.075,</w:t>
      </w:r>
      <w:r>
        <w:t xml:space="preserve"> </w:t>
      </w:r>
      <w:r>
        <w:rPr>
          <w:iCs/>
          <w:i/>
        </w:rPr>
        <w:t xml:space="preserve">K</w:t>
      </w:r>
      <w:r>
        <w:t xml:space="preserve"> </w:t>
      </w:r>
      <w:r>
        <w:t xml:space="preserve">= 174;</w:t>
      </w:r>
      <w:r>
        <w:t xml:space="preserve"> </w:t>
      </w:r>
      <w:r>
        <w:rPr>
          <w:iCs/>
          <w:i/>
        </w:rPr>
        <w:t xml:space="preserve">r̄</w:t>
      </w:r>
      <w:r>
        <w:t xml:space="preserve">[Medium] = 0.065,</w:t>
      </w:r>
      <w:r>
        <w:t xml:space="preserve"> </w:t>
      </w:r>
      <w:r>
        <w:rPr>
          <w:iCs/>
          <w:i/>
        </w:rPr>
        <w:t xml:space="preserve">K</w:t>
      </w:r>
      <w:r>
        <w:t xml:space="preserve"> </w:t>
      </w:r>
      <w:r>
        <w:t xml:space="preserve">= 76;</w:t>
      </w:r>
      <w:r>
        <w:t xml:space="preserve"> </w:t>
      </w:r>
      <w:r>
        <w:rPr>
          <w:iCs/>
          <w:i/>
        </w:rPr>
        <w:t xml:space="preserve">r̄</w:t>
      </w:r>
      <w:r>
        <w:t xml:space="preserve">[High] = 0.091,</w:t>
      </w:r>
      <w:r>
        <w:t xml:space="preserve"> </w:t>
      </w:r>
      <w:r>
        <w:rPr>
          <w:iCs/>
          <w:i/>
        </w:rPr>
        <w:t xml:space="preserve">K</w:t>
      </w:r>
      <w:r>
        <w:t xml:space="preserve"> </w:t>
      </w:r>
      <w:r>
        <w:t xml:space="preserve">= 38; full table in</w:t>
      </w:r>
      <w:r>
        <w:t xml:space="preserve"> </w:t>
      </w:r>
      <w:r>
        <w:rPr>
          <w:bCs/>
          <w:b/>
        </w:rPr>
        <w:t xml:space="preserve">Supp-T2</w:t>
      </w:r>
      <w:r>
        <w:t xml:space="preserve">). All three subgroup means are individually significant (</w:t>
      </w:r>
      <w:r>
        <w:rPr>
          <w:iCs/>
          <w:i/>
        </w:rPr>
        <w:t xml:space="preserve">p</w:t>
      </w:r>
      <w:r>
        <w:t xml:space="preserve"> </w:t>
      </w:r>
      <w:r>
        <w:t xml:space="preserve">&lt; .001) but pairwise contrasts are small and non-significant (</w:t>
      </w:r>
      <w:r>
        <w:rPr>
          <w:iCs/>
          <w:i/>
        </w:rPr>
        <w:t xml:space="preserve">b</w:t>
      </w:r>
      <w:r>
        <w:t xml:space="preserve">[Medium−Low] = −0.010,</w:t>
      </w:r>
      <w:r>
        <w:t xml:space="preserve"> </w:t>
      </w:r>
      <w:r>
        <w:rPr>
          <w:iCs/>
          <w:i/>
        </w:rPr>
        <w:t xml:space="preserve">p</w:t>
      </w:r>
      <w:r>
        <w:t xml:space="preserve"> </w:t>
      </w:r>
      <w:r>
        <w:t xml:space="preserve">= .489;</w:t>
      </w:r>
      <w:r>
        <w:t xml:space="preserve"> </w:t>
      </w:r>
      <w:r>
        <w:rPr>
          <w:iCs/>
          <w:i/>
        </w:rPr>
        <w:t xml:space="preserve">b</w:t>
      </w:r>
      <w:r>
        <w:t xml:space="preserve">[High−Low] = +0.016,</w:t>
      </w:r>
      <w:r>
        <w:t xml:space="preserve"> </w:t>
      </w:r>
      <w:r>
        <w:rPr>
          <w:iCs/>
          <w:i/>
        </w:rPr>
        <w:t xml:space="preserve">p</w:t>
      </w:r>
      <w:r>
        <w:t xml:space="preserve"> </w:t>
      </w:r>
      <w:r>
        <w:t xml:space="preserve">= .469). The non-monotone ordering (Low &gt; Medium &lt; High) and the omnibus null fail to support the predicted positive linear gradient. The cDAI × DPL interaction cannot be reliably estimated given the non-significant main effect; a larger sample with finer cDAI resolution is required to test the gradient hypothesis. H3 is not supported: country-level digital adoption does not significantly amplify the pooled I-P effect in this</w:t>
      </w:r>
      <w:r>
        <w:t xml:space="preserve"> </w:t>
      </w:r>
      <w:r>
        <w:rPr>
          <w:iCs/>
          <w:i/>
        </w:rPr>
        <w:t xml:space="preserve">k</w:t>
      </w:r>
      <w:r>
        <w:t xml:space="preserve"> </w:t>
      </w:r>
      <w:r>
        <w:t xml:space="preserve">= 238 sample.</w:t>
      </w:r>
    </w:p>
    <w:bookmarkEnd w:id="56"/>
    <w:bookmarkStart w:id="60"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not supported.</w:t>
      </w:r>
    </w:p>
    <w:p>
      <w:pPr>
        <w:pStyle w:val="BodyText"/>
      </w:pPr>
      <w:r>
        <w:t xml:space="preserve">Subgroup means: PRE (median data year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full table in</w:t>
      </w:r>
      <w:r>
        <w:t xml:space="preserve"> </w:t>
      </w:r>
      <w:r>
        <w:rPr>
          <w:bCs/>
          <w:b/>
        </w:rPr>
        <w:t xml:space="preserve">Supp-T3</w:t>
      </w:r>
      <w:r>
        <w:t xml:space="preserve">. Pairwise</w:t>
      </w:r>
      <w:r>
        <w:t xml:space="preserve"> </w:t>
      </w:r>
      <w:r>
        <w:rPr>
          <w:iCs/>
          <w:i/>
        </w:rPr>
        <w:t xml:space="preserve">z</w:t>
      </w:r>
      <w:r>
        <w:t xml:space="preserve">-tests are all far from significance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The empirical ordering (PRE &gt; FOL &gt; SPN) is opposite to H2's predicted FOL &gt; SPN &gt; PRE, but between-group differences are too small to overinterpret. The null result may reflect insufficient power to detect small temporal trends at</w:t>
      </w:r>
      <w:r>
        <w:t xml:space="preserve"> </w:t>
      </w:r>
      <w:r>
        <w:rPr>
          <w:iCs/>
          <w:i/>
        </w:rPr>
        <w:t xml:space="preserve">k</w:t>
      </w:r>
      <w:r>
        <w:t xml:space="preserve"> </w:t>
      </w:r>
      <w:r>
        <w:t xml:space="preserve">= 238, confounding between DPL phase and ICRV composition (pre-2009 studies concentrated in advanced economies), or the absence of a DPL inflection at meta-analytic resolution with the current sample. H2 is not supported.</w:t>
      </w:r>
    </w:p>
    <w:p>
      <w:pPr>
        <w:pStyle w:val="BodyText"/>
      </w:pPr>
      <w:r>
        <w:drawing>
          <wp:inline>
            <wp:extent cx="5753100" cy="4403829"/>
            <wp:effectExtent b="0" l="0" r="0" t="0"/>
            <wp:docPr descr="Figure 3: DPL phase moderation, pooled I-P effect by digital adoption epoch" title="" id="58" name="Picture"/>
            <a:graphic>
              <a:graphicData uri="http://schemas.openxmlformats.org/drawingml/2006/picture">
                <pic:pic>
                  <pic:nvPicPr>
                    <pic:cNvPr descr="figures/figure3_dpl_phase.png" id="59" name="Picture"/>
                    <pic:cNvPicPr>
                      <a:picLocks noChangeArrowheads="1" noChangeAspect="1"/>
                    </pic:cNvPicPr>
                  </pic:nvPicPr>
                  <pic:blipFill>
                    <a:blip r:embed="rId57"/>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pooled effects with 95% CI. Between-phase differences are small and non-significant.</w:t>
      </w:r>
    </w:p>
    <w:bookmarkEnd w:id="60"/>
    <w:bookmarkStart w:id="64"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m:oMath>
        <m:sSup>
          <m:e>
            <m:r>
              <m:t>I</m:t>
            </m:r>
          </m:e>
          <m:sup>
            <m:r>
              <m:t>2</m:t>
            </m:r>
          </m:sup>
        </m:sSup>
      </m:oMath>
      <w:r>
        <w:t xml:space="preserve"> </w:t>
      </w:r>
      <w:r>
        <w:t xml:space="preserve">= 87.8%)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m:oMath>
        <m:r>
          <m:rPr>
            <m:sty m:val="p"/>
          </m:rPr>
          <m:t>≈</m:t>
        </m:r>
      </m:oMath>
      <w:r>
        <w:t xml:space="preserve"> </w:t>
      </w:r>
      <w:r>
        <w:t xml:space="preserve">0.035.</w:t>
      </w:r>
    </w:p>
    <w:p>
      <w:pPr>
        <w:pStyle w:val="BodyText"/>
      </w:pPr>
      <w:r>
        <w:drawing>
          <wp:inline>
            <wp:extent cx="5753100" cy="4601444"/>
            <wp:effectExtent b="0" l="0" r="0" t="0"/>
            <wp:docPr descr="Figure 4: Funnel plot with trim-and-fill imputed studies" title="" id="62" name="Picture"/>
            <a:graphic>
              <a:graphicData uri="http://schemas.openxmlformats.org/drawingml/2006/picture">
                <pic:pic>
                  <pic:nvPicPr>
                    <pic:cNvPr descr="figures/figure4_funnel_plot.png" id="63" name="Picture"/>
                    <pic:cNvPicPr>
                      <a:picLocks noChangeArrowheads="1" noChangeAspect="1"/>
                    </pic:cNvPicPr>
                  </pic:nvPicPr>
                  <pic:blipFill>
                    <a:blip r:embed="rId61"/>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64"/>
    <w:bookmarkStart w:id="68" w:name="X2944bef6cd2d25cd29d80b35f2bf895bc8ca4c2"/>
    <w:p>
      <w:pPr>
        <w:pStyle w:val="Heading3"/>
      </w:pPr>
      <w:r>
        <w:t xml:space="preserve">4.7 Robustness</w:t>
      </w:r>
    </w:p>
    <w:p>
      <w:pPr>
        <w:pStyle w:val="FirstParagraph"/>
      </w:pPr>
      <w:r>
        <w:t xml:space="preserve">The baseline</w:t>
      </w:r>
      <w:r>
        <w:t xml:space="preserve"> </w:t>
      </w:r>
      <w:r>
        <w:rPr>
          <w:iCs/>
          <w:i/>
        </w:rPr>
        <w:t xml:space="preserve">r</w:t>
      </w:r>
      <w:r>
        <w:t xml:space="preserve"> </w:t>
      </w:r>
      <w:r>
        <w:t xml:space="preserve">= 0.074 is robust across all sensitivity checks: confirmed-</w:t>
      </w:r>
      <w:r>
        <w:rPr>
          <w:iCs/>
          <w:i/>
        </w:rPr>
        <w:t xml:space="preserve">r</w:t>
      </w:r>
      <w:r>
        <w:t xml:space="preserve">-only (</w:t>
      </w:r>
      <w:r>
        <w:rPr>
          <w:iCs/>
          <w:i/>
        </w:rPr>
        <w:t xml:space="preserve">K</w:t>
      </w:r>
      <w:r>
        <w:t xml:space="preserve"> </w:t>
      </w:r>
      <w:r>
        <w:t xml:space="preserve">= 241,</w:t>
      </w:r>
      <w:r>
        <w:t xml:space="preserve"> </w:t>
      </w:r>
      <w:r>
        <w:rPr>
          <w:iCs/>
          <w:i/>
        </w:rPr>
        <w:t xml:space="preserve">r̄</w:t>
      </w:r>
      <w:r>
        <w:t xml:space="preserve"> </w:t>
      </w:r>
      <w:r>
        <w:t xml:space="preserve">= 0.077); exclude</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ACC-performance only (</w:t>
      </w:r>
      <w:r>
        <w:rPr>
          <w:iCs/>
          <w:i/>
        </w:rPr>
        <w:t xml:space="preserve">K</w:t>
      </w:r>
      <w:r>
        <w:t xml:space="preserve"> </w:t>
      </w:r>
      <w:r>
        <w:t xml:space="preserve">= 247,</w:t>
      </w:r>
      <w:r>
        <w:t xml:space="preserve"> </w:t>
      </w:r>
      <w:r>
        <w:rPr>
          <w:iCs/>
          <w:i/>
        </w:rPr>
        <w:t xml:space="preserve">r̄</w:t>
      </w:r>
      <w:r>
        <w:t xml:space="preserve"> </w:t>
      </w:r>
      <w:r>
        <w:t xml:space="preserve">= 0.075); FSTS-only DOI (</w:t>
      </w:r>
      <w:r>
        <w:rPr>
          <w:iCs/>
          <w:i/>
        </w:rPr>
        <w:t xml:space="preserve">K</w:t>
      </w:r>
      <w:r>
        <w:t xml:space="preserve"> </w:t>
      </w:r>
      <w:r>
        <w:t xml:space="preserve">= 138,</w:t>
      </w:r>
      <w:r>
        <w:t xml:space="preserve"> </w:t>
      </w:r>
      <w:r>
        <w:rPr>
          <w:iCs/>
          <w:i/>
        </w:rPr>
        <w:t xml:space="preserve">r̄</w:t>
      </w:r>
      <w:r>
        <w:t xml:space="preserve"> </w:t>
      </w:r>
      <w:r>
        <w:t xml:space="preserve">= 0.061, most conservative, but positive and significant); DL two-level estimator (Δ</w:t>
      </w:r>
      <w:r>
        <w:rPr>
          <w:iCs/>
          <w:i/>
        </w:rPr>
        <w:t xml:space="preserve">r</w:t>
      </w:r>
      <w:r>
        <w:t xml:space="preserve"> </w:t>
      </w:r>
      <w:r>
        <w:t xml:space="preserve">&lt; 0.01 vs. three-level); leave-one-out range [0.071, 0.075] (0/288 changing direction); ICRV drop-Frontier omnibus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versus full-sample</w:t>
      </w:r>
      <w:r>
        <w:t xml:space="preserve"> </w:t>
      </w:r>
      <w:r>
        <w:rPr>
          <w:iCs/>
          <w:i/>
        </w:rPr>
        <w:t xml:space="preserve">Q</w:t>
      </w:r>
      <w:r>
        <w:t xml:space="preserve">_M = 17.35 carried by FR (</w:t>
      </w:r>
      <w:r>
        <w:rPr>
          <w:iCs/>
          <w:i/>
        </w:rPr>
        <w:t xml:space="preserve">K</w:t>
      </w:r>
      <w:r>
        <w:t xml:space="preserve"> </w:t>
      </w:r>
      <w:r>
        <w:t xml:space="preserve">= 3). The DL two-level estimator and three-level point estimates coincide, confirming that three-level nesting adds precision without biasing the pooled effect. The FSTS-only attenuation suggests broader DOI heterogeneity partially inflates the pooled effect. Full robustness table in</w:t>
      </w:r>
      <w:r>
        <w:t xml:space="preserve"> </w:t>
      </w:r>
      <w:r>
        <w:rPr>
          <w:bCs/>
          <w:b/>
        </w:rPr>
        <w:t xml:space="preserve">Supp-T4</w:t>
      </w:r>
      <w:r>
        <w:t xml:space="preserve">.</w:t>
      </w:r>
    </w:p>
    <w:p>
      <w:pPr>
        <w:pStyle w:val="BodyText"/>
      </w:pPr>
      <w:r>
        <w:drawing>
          <wp:inline>
            <wp:extent cx="5753100" cy="2528953"/>
            <wp:effectExtent b="0" l="0" r="0" t="0"/>
            <wp:docPr descr="Figure 5: Leave-one-out sensitivity, pooled r̄ range across leave-one-out iterations" title="" id="66" name="Picture"/>
            <a:graphic>
              <a:graphicData uri="http://schemas.openxmlformats.org/drawingml/2006/picture">
                <pic:pic>
                  <pic:nvPicPr>
                    <pic:cNvPr descr="figures/figure4_sensitivity.png" id="67" name="Picture"/>
                    <pic:cNvPicPr>
                      <a:picLocks noChangeArrowheads="1" noChangeAspect="1"/>
                    </pic:cNvPicPr>
                  </pic:nvPicPr>
                  <pic:blipFill>
                    <a:blip r:embed="rId65"/>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Leave-one-out sensitivity. The narrow range across</w:t>
      </w:r>
      <w:r>
        <w:t xml:space="preserve"> </w:t>
      </w:r>
      <w:r>
        <w:rPr>
          <w:iCs/>
          <w:i/>
        </w:rPr>
        <w:t xml:space="preserve">K</w:t>
      </w:r>
      <w:r>
        <w:t xml:space="preserve"> </w:t>
      </w:r>
      <w:r>
        <w:t xml:space="preserve">= 288 iterations confirms no single study drives the result.</w:t>
      </w:r>
    </w:p>
    <w:p>
      <w:r>
        <w:pict>
          <v:rect style="width:0;height:1.5pt" o:hralign="center" o:hrstd="t" o:hr="t"/>
        </w:pict>
      </w:r>
    </w:p>
    <w:bookmarkEnd w:id="68"/>
    <w:bookmarkEnd w:id="69"/>
    <w:bookmarkStart w:id="74" w:name="X735612638e4e736e4693e459c258977262c0dfc"/>
    <w:p>
      <w:pPr>
        <w:pStyle w:val="Heading2"/>
      </w:pPr>
      <w:r>
        <w:t xml:space="preserve">5. Discussion</w:t>
      </w:r>
    </w:p>
    <w:bookmarkStart w:id="70"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 companion primary-study analysis by the present author group (Do &amp; Phan, 2025) on 380 Indian WBES firms documents a negative aggregate DOI coefficient with manager experience and female top-management leadership as positive moderating factors, a pattern consistent with the firm-level-compensating-resources interpretation discussed in §5.2; we note this overlap to flag, rather than conceal, the link to our wider primary-study programme.</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70"/>
    <w:bookmarkStart w:id="71" w:name="X688563909f8febb75275ad832e560c448093230"/>
    <w:p>
      <w:pPr>
        <w:pStyle w:val="Heading3"/>
      </w:pPr>
      <w:r>
        <w:t xml:space="preserve">5.2 Theoretical Contributions</w:t>
      </w:r>
    </w:p>
    <w:p>
      <w:pPr>
        <w:pStyle w:val="FirstParagraph"/>
      </w:pPr>
      <w:r>
        <w:rPr>
          <w:bCs/>
          <w:b/>
        </w:rPr>
        <w:t xml:space="preserve">Contribution 1: A three-level decomposition of I-P heterogeneity.</w:t>
      </w:r>
      <w:r>
        <w:t xml:space="preserve"> </w:t>
      </w:r>
      <w:r>
        <w:t xml:space="preserve">Extending the ICBEF 2025 Asia-Pacific baseline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the three-level MARA correctly partitions within-study and between-study variance and shows that within-study design heterogeneity (Level-2</w:t>
      </w:r>
      <w:r>
        <w:t xml:space="preserve"> </w:t>
      </w:r>
      <w:r>
        <w:rPr>
          <w:iCs/>
          <w:i/>
        </w:rPr>
        <w:t xml:space="preserve">I</w:t>
      </w:r>
      <w:r>
        <w:t xml:space="preserve">² = 76.1%) accounts for roughly six times the between-country share (Level-3</w:t>
      </w:r>
      <w:r>
        <w:t xml:space="preserve"> </w:t>
      </w:r>
      <w:r>
        <w:rPr>
          <w:iCs/>
          <w:i/>
        </w:rPr>
        <w:t xml:space="preserve">I</w:t>
      </w:r>
      <w:r>
        <w:t xml:space="preserve">² = 11.8%). The baseline</w:t>
      </w:r>
      <w:r>
        <w:t xml:space="preserve"> </w:t>
      </w:r>
      <w:r>
        <w:rPr>
          <w:iCs/>
          <w:i/>
        </w:rPr>
        <w:t xml:space="preserve">r</w:t>
      </w:r>
      <w:r>
        <w:t xml:space="preserve"> </w:t>
      </w:r>
      <w:r>
        <w:t xml:space="preserve">= 0.074 replicates prior estimates and is robust across seven sensitivity checks. Marano et al.'s (2016) earlier institutional-moderator finding remains the canonical reference; our analysis does not overturn it but adds the three-level decomposition and the formal moderator tests below.</w:t>
      </w:r>
    </w:p>
    <w:p>
      <w:pPr>
        <w:pStyle w:val="BodyText"/>
      </w:pPr>
      <w:r>
        <w:rPr>
          <w:bCs/>
          <w:b/>
        </w:rPr>
        <w:t xml:space="preserve">Contribution 2: Pre-registered moderator tests of ICRV, cDAI, and DPL.</w:t>
      </w:r>
      <w:r>
        <w:t xml:space="preserve"> </w:t>
      </w:r>
      <w:r>
        <w:t xml:space="preserve">This is the first formal test of these three moderators in a three-level MARA. All three return null or fragile results: ICRV core-regime</w:t>
      </w:r>
      <w:r>
        <w:t xml:space="preserve"> </w:t>
      </w:r>
      <w:r>
        <w:rPr>
          <w:iCs/>
          <w:i/>
        </w:rPr>
        <w:t xml:space="preserve">Q</w:t>
      </w:r>
      <w:r>
        <w:t xml:space="preserve">_M = 1.49 (</w:t>
      </w:r>
      <w:r>
        <w:rPr>
          <w:iCs/>
          <w:i/>
        </w:rPr>
        <w:t xml:space="preserve">p</w:t>
      </w:r>
      <w:r>
        <w:t xml:space="preserve"> </w:t>
      </w:r>
      <w:r>
        <w:t xml:space="preserve">= .68); cDAI</w:t>
      </w:r>
      <w:r>
        <w:t xml:space="preserve"> </w:t>
      </w:r>
      <w:r>
        <w:rPr>
          <w:iCs/>
          <w:i/>
        </w:rPr>
        <w:t xml:space="preserve">Q</w:t>
      </w:r>
      <w:r>
        <w:t xml:space="preserve">_M = 1.23 (</w:t>
      </w:r>
      <w:r>
        <w:rPr>
          <w:iCs/>
          <w:i/>
        </w:rPr>
        <w:t xml:space="preserve">p</w:t>
      </w:r>
      <w:r>
        <w:t xml:space="preserve"> </w:t>
      </w:r>
      <w:r>
        <w:t xml:space="preserve">= .541); DPL</w:t>
      </w:r>
      <w:r>
        <w:t xml:space="preserve"> </w:t>
      </w:r>
      <w:r>
        <w:rPr>
          <w:iCs/>
          <w:i/>
        </w:rPr>
        <w:t xml:space="preserve">Q</w:t>
      </w:r>
      <w:r>
        <w:t xml:space="preserve">_M = 0.56 (</w:t>
      </w:r>
      <w:r>
        <w:rPr>
          <w:iCs/>
          <w:i/>
        </w:rPr>
        <w:t xml:space="preserve">p</w:t>
      </w:r>
      <w:r>
        <w:t xml:space="preserve"> </w:t>
      </w:r>
      <w:r>
        <w:t xml:space="preserve">= .755). These nulls set theoretically informative bounds rather than confirming substantive moderation: the</w:t>
      </w:r>
      <w:r>
        <w:t xml:space="preserve"> </w:t>
      </w:r>
      <w:r>
        <w:rPr>
          <w:iCs/>
          <w:i/>
        </w:rPr>
        <w:t xml:space="preserve">k</w:t>
      </w:r>
      <w:r>
        <w:t xml:space="preserve"> </w:t>
      </w:r>
      <w:r>
        <w:t xml:space="preserve">= 238 sample lacks adequate between-regime variation in diagnostic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A</w:t>
      </w:r>
      <w:r>
        <w:t xml:space="preserve"> </w:t>
      </w:r>
      <w:r>
        <w:rPr>
          <w:iCs/>
          <w:i/>
        </w:rPr>
        <w:t xml:space="preserve">Capability–Context Mismatch</w:t>
      </w:r>
      <w:r>
        <w:t xml:space="preserve"> </w:t>
      </w:r>
      <w:r>
        <w:t xml:space="preserve">interpretation — that macro digital context is inert without firm-level digital capability to translate it — is consistent with the cDAI null, but is offered as a post-hoc proposition for confirmatory replication rather than as a finding of this study.</w:t>
      </w:r>
    </w:p>
    <w:p>
      <w:pPr>
        <w:pStyle w:val="BodyText"/>
      </w:pPr>
      <w:r>
        <w:rPr>
          <w:bCs/>
          <w:b/>
        </w:rPr>
        <w:t xml:space="preserve">Contribution 3: Quantification of publication-bias attenuation.</w:t>
      </w:r>
      <w:r>
        <w:t xml:space="preserve"> </w:t>
      </w:r>
      <w:r>
        <w:t xml:space="preserve">Trim-and-fill imputes</w:t>
      </w:r>
      <w:r>
        <w:t xml:space="preserve"> </w:t>
      </w:r>
      <w:r>
        <w:rPr>
          <w:iCs/>
          <w:i/>
        </w:rPr>
        <w:t xml:space="preserve">k</w:t>
      </w:r>
      <w:r>
        <w:t xml:space="preserve"> </w:t>
      </w:r>
      <w:r>
        <w:t xml:space="preserve">= 58 missing left-side studies and yields</w:t>
      </w:r>
      <w:r>
        <w:t xml:space="preserve"> </w:t>
      </w:r>
      <w:r>
        <w:rPr>
          <w:iCs/>
          <w:i/>
        </w:rPr>
        <w:t xml:space="preserve">r</w:t>
      </w:r>
      <w:r>
        <w:t xml:space="preserve"> </w:t>
      </w:r>
      <w:r>
        <w:t xml:space="preserve">= 0.035 [.023, .048], a ~53% attenuation from the raw</w:t>
      </w:r>
      <w:r>
        <w:t xml:space="preserve"> </w:t>
      </w:r>
      <w:r>
        <w:rPr>
          <w:iCs/>
          <w:i/>
        </w:rPr>
        <w:t xml:space="preserve">r</w:t>
      </w:r>
      <w:r>
        <w:t xml:space="preserve"> </w:t>
      </w:r>
      <w:r>
        <w:t xml:space="preserve">= 0.074; Begg's</w:t>
      </w:r>
      <w:r>
        <w:t xml:space="preserve"> </w:t>
      </w:r>
      <m:oMath>
        <m:r>
          <m:t>τ</m:t>
        </m:r>
      </m:oMath>
      <w:r>
        <w:t xml:space="preserve"> </w:t>
      </w:r>
      <w:r>
        <w:t xml:space="preserve">is significant (</w:t>
      </w:r>
      <w:r>
        <w:rPr>
          <w:iCs/>
          <w:i/>
        </w:rPr>
        <w:t xml:space="preserve">p</w:t>
      </w:r>
      <w:r>
        <w:t xml:space="preserve"> </w:t>
      </w:r>
      <w:r>
        <w:t xml:space="preserve">&lt; .001) and Egger's</w:t>
      </w:r>
      <w:r>
        <w:t xml:space="preserve"> </w:t>
      </w:r>
      <w:r>
        <w:rPr>
          <w:iCs/>
          <w:i/>
        </w:rPr>
        <w:t xml:space="preserve">p</w:t>
      </w:r>
      <w:r>
        <w:t xml:space="preserve"> </w:t>
      </w:r>
      <w:r>
        <w:t xml:space="preserve">= .057 is borderline. Because trim-and-fill is known to over-correct under high heterogeneity (</w:t>
      </w:r>
      <w:r>
        <w:rPr>
          <w:iCs/>
          <w:i/>
        </w:rPr>
        <w:t xml:space="preserve">I</w:t>
      </w:r>
      <w:r>
        <w:t xml:space="preserve">² = 87.8% here), we interpret the 53% figure as an upper-bound estimate of selection-driven inflation rather than a point estimate.</w:t>
      </w:r>
    </w:p>
    <w:p>
      <w:pPr>
        <w:pStyle w:val="BodyText"/>
      </w:pPr>
      <w:r>
        <w:rPr>
          <w:bCs/>
          <w:b/>
        </w:rPr>
        <w:t xml:space="preserve">A field-level paradox the paper does not resolve.</w:t>
      </w:r>
      <w:r>
        <w:t xml:space="preserve"> </w:t>
      </w:r>
      <w:r>
        <w:t xml:space="preserve">The bias-corrected estimate (</w:t>
      </w:r>
      <w:r>
        <w:rPr>
          <w:iCs/>
          <w:i/>
        </w:rPr>
        <w:t xml:space="preserve">r</w:t>
      </w:r>
      <w:r>
        <w:t xml:space="preserve"> </w:t>
      </w:r>
      <w:r>
        <w:t xml:space="preserve">≈ .035, below Cohen's small-effect floor of .10) raises a foundational question for the moderator project this paper undertakes: if four decades of accumulated I-P evidence are materially inflated by publication selection, then both the canonical inverted-U/positive-I-P findings the theory section invokes (Lu &amp; Beamish, 2004; Hitt et al., 1997; Marano et al., 2016) and the minimum effect size against which moderator power should be calibrated rest on shakier empirical ground than the literature acknowledges. Two implications follow that this paper can only surface, not resolve. First, between-study moderator detection in this literature requires power calibrated to</w:t>
      </w:r>
      <w:r>
        <w:t xml:space="preserve"> </w:t>
      </w:r>
      <w:r>
        <w:rPr>
          <w:iCs/>
          <w:i/>
        </w:rPr>
        <w:t xml:space="preserve">r</w:t>
      </w:r>
      <w:r>
        <w:t xml:space="preserve"> </w:t>
      </w:r>
      <w:r>
        <w:t xml:space="preserve">≈ .035 rather than</w:t>
      </w:r>
      <w:r>
        <w:t xml:space="preserve"> </w:t>
      </w:r>
      <w:r>
        <w:rPr>
          <w:iCs/>
          <w:i/>
        </w:rPr>
        <w:t xml:space="preserve">r</w:t>
      </w:r>
      <w:r>
        <w:t xml:space="preserve"> </w:t>
      </w:r>
      <w:r>
        <w:t xml:space="preserve">≈ .07–.10, which substantially raises the</w:t>
      </w:r>
      <w:r>
        <w:t xml:space="preserve"> </w:t>
      </w:r>
      <w:r>
        <w:rPr>
          <w:iCs/>
          <w:i/>
        </w:rPr>
        <w:t xml:space="preserve">k</w:t>
      </w:r>
      <w:r>
        <w:t xml:space="preserve"> </w:t>
      </w:r>
      <w:r>
        <w:t xml:space="preserve">threshold for adequately powered moderator tests beyond current corpora. Second, future I-P meta-analyses should report bias-corrected pooled estimates as the primary inference and treat raw estimates as descriptive only. We intend this paper to register the paradox; resolving it is a research-programme commitment beyond a single article.</w:t>
      </w:r>
    </w:p>
    <w:bookmarkEnd w:id="71"/>
    <w:bookmarkStart w:id="72" w:name="Xb1fcf2c8d5f0b973be8539a5c4cf4005bf85f3d"/>
    <w:p>
      <w:pPr>
        <w:pStyle w:val="Heading3"/>
      </w:pPr>
      <w:r>
        <w:t xml:space="preserve">5.3 Managerial and Policy Implications</w:t>
      </w:r>
    </w:p>
    <w:p>
      <w:pPr>
        <w:pStyle w:val="FirstParagraph"/>
      </w:pPr>
      <w:r>
        <w:t xml:space="preserve">Three implications follow within the constraints set by §5.2's paradox. Because the bias-corrected effect (</w:t>
      </w:r>
      <w:r>
        <w:rPr>
          <w:iCs/>
          <w:i/>
        </w:rPr>
        <w:t xml:space="preserve">r</w:t>
      </w:r>
      <w:r>
        <w:t xml:space="preserve"> </w:t>
      </w:r>
      <w:r>
        <w:t xml:space="preserve">≈ .035) sits below Cohen's small-effect floor and our moderators do not robustly select environments where the effect is larger, these implications are bounded rather than prescriptive.</w:t>
      </w:r>
      <w:r>
        <w:t xml:space="preserve"> </w:t>
      </w:r>
      <w:r>
        <w:rPr>
          <w:bCs/>
          <w:b/>
        </w:rPr>
        <w:t xml:space="preserve">For managers:</w:t>
      </w:r>
      <w:r>
        <w:t xml:space="preserve"> </w:t>
      </w:r>
      <w:r>
        <w:t xml:space="preserve">internationalization should be evaluated on firm-specific strategic logic (resource-leveraging, capability-building, market-portfolio diversification) rather than on the assumption that exporting raises productivity on average — the average return is materially smaller than the published literature suggests.</w:t>
      </w:r>
      <w:r>
        <w:t xml:space="preserve"> </w:t>
      </w:r>
      <w:r>
        <w:rPr>
          <w:bCs/>
          <w:b/>
        </w:rPr>
        <w:t xml:space="preserve">For policy makers:</w:t>
      </w:r>
      <w:r>
        <w:t xml:space="preserve"> </w:t>
      </w:r>
      <w:r>
        <w:t xml:space="preserve">the non-significant ICRV Advanced–Emerging gap (</w:t>
      </w:r>
      <w:r>
        <w:rPr>
          <w:iCs/>
          <w:i/>
        </w:rPr>
        <w:t xml:space="preserve">r̄</w:t>
      </w:r>
      <w:r>
        <w:t xml:space="preserve"> </w:t>
      </w:r>
      <w:r>
        <w:t xml:space="preserve">= 0.079 vs. 0.069) does not warrant treating institutional quality as the primary lever for export-led productivity; export-promotion designs should weight firm-level capability programmes (technological and managerial) alongside institutional reform.</w:t>
      </w:r>
      <w:r>
        <w:t xml:space="preserve"> </w:t>
      </w:r>
      <w:r>
        <w:rPr>
          <w:bCs/>
          <w:b/>
        </w:rPr>
        <w:t xml:space="preserve">For the IB research community:</w:t>
      </w:r>
      <w:r>
        <w:t xml:space="preserve"> </w:t>
      </w:r>
      <w:r>
        <w:t xml:space="preserve">pre-registration and bias-corrected pooled reporting should become standard in future I-P meta-analyses.</w:t>
      </w:r>
    </w:p>
    <w:bookmarkEnd w:id="72"/>
    <w:bookmarkStart w:id="73"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 "forced-penalty" 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73"/>
    <w:bookmarkEnd w:id="74"/>
    <w:bookmarkStart w:id="75" w:name="X6b297cc947e0db5526be369b1f0f4ddc67b2415"/>
    <w:p>
      <w:pPr>
        <w:pStyle w:val="Heading2"/>
      </w:pPr>
      <w:r>
        <w:t xml:space="preserve">6. Conclusion</w:t>
      </w:r>
    </w:p>
    <w:p>
      <w:pPr>
        <w:pStyle w:val="FirstParagraph"/>
      </w:pPr>
      <w:r>
        <w:t xml:space="preserve">This paper presents the first three-level MARA of the internationalization–performance (I-P) relationship on a globally representative corpus (</w:t>
      </w:r>
      <w:r>
        <w:rPr>
          <w:iCs/>
          <w:i/>
        </w:rPr>
        <w:t xml:space="preserve">k</w:t>
      </w:r>
      <w:r>
        <w:t xml:space="preserve"> </w:t>
      </w:r>
      <w:r>
        <w:t xml:space="preserve">= 238 studies,</w:t>
      </w:r>
      <w:r>
        <w:t xml:space="preserve"> </w:t>
      </w:r>
      <w:r>
        <w:rPr>
          <w:iCs/>
          <w:i/>
        </w:rPr>
        <w:t xml:space="preserve">K</w:t>
      </w:r>
      <w:r>
        <w:t xml:space="preserve"> </w:t>
      </w:r>
      <w:r>
        <w:t xml:space="preserve">= 288 effects, 49 economies), extending the ICBEF 2025 Asia-Pacific baseline (</w:t>
      </w:r>
      <w:r>
        <w:rPr>
          <w:iCs/>
          <w:i/>
        </w:rPr>
        <w:t xml:space="preserve">k</w:t>
      </w:r>
      <w:r>
        <w:t xml:space="preserve"> </w:t>
      </w:r>
      <w:r>
        <w:t xml:space="preserve">= 113) and introducing three previously untested moderators, ICRV institutional regime, country-level digital adoption (cDAI), and Digital Paradox Lifecycle (DPL) phase. The pooled effect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is small, positive, and robust across seven sensitivity checks.</w:t>
      </w:r>
    </w:p>
    <w:p>
      <w:pPr>
        <w:pStyle w:val="BodyText"/>
      </w:pPr>
      <w:r>
        <w:t xml:space="preserve">H1 receives only fragile support: the full-sample ICRV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w:t>
      </w:r>
      <w:r>
        <w:rPr>
          <w:iCs/>
          <w:i/>
        </w:rPr>
        <w:t xml:space="preserve">Q</w:t>
      </w:r>
      <w:r>
        <w:t xml:space="preserve">_M = 1.49,</w:t>
      </w:r>
      <w:r>
        <w:t xml:space="preserve"> </w:t>
      </w:r>
      <w:r>
        <w:rPr>
          <w:iCs/>
          <w:i/>
        </w:rPr>
        <w:t xml:space="preserve">p</w:t>
      </w:r>
      <w:r>
        <w:t xml:space="preserve"> </w:t>
      </w:r>
      <w:r>
        <w:t xml:space="preserve">= .68). The directional gradient (E1a/E1b) and the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hypotheses are not confirmed at current sample sizes. The most substantive finding is publication bias (H4 confirmed): trim-and-fill imputes</w:t>
      </w:r>
      <w:r>
        <w:t xml:space="preserve"> </w:t>
      </w:r>
      <w:r>
        <w:rPr>
          <w:iCs/>
          <w:i/>
        </w:rPr>
        <w:t xml:space="preserve">k</w:t>
      </w:r>
      <w:r>
        <w:t xml:space="preserve"> </w:t>
      </w:r>
      <w:r>
        <w:t xml:space="preserve">= 58 missing studies, reducing the bias-corrected effect to</w:t>
      </w:r>
      <w:r>
        <w:t xml:space="preserve"> </w:t>
      </w:r>
      <w:r>
        <w:rPr>
          <w:iCs/>
          <w:i/>
        </w:rPr>
        <w:t xml:space="preserve">r</w:t>
      </w:r>
      <w:r>
        <w:t xml:space="preserve"> </w:t>
      </w:r>
      <w:r>
        <w:t xml:space="preserve">= 0.035 (95% CI [0.023, 0.048]), a ~53% attenuation. The I-P field's published literature appears to over-represent positive findings, and the true average performance return to internationalization may sit closer to</w:t>
      </w:r>
      <w:r>
        <w:t xml:space="preserve"> </w:t>
      </w:r>
      <w:r>
        <w:rPr>
          <w:iCs/>
          <w:i/>
        </w:rPr>
        <w:t xml:space="preserve">r</w:t>
      </w:r>
      <w:r>
        <w:t xml:space="preserve"> </w:t>
      </w:r>
      <w:r>
        <w:t xml:space="preserve">≈ 0.035 than to the 0.07–0.10 range commonly cited. The heterogeneity puzzle remains largely unresolved, but the three-level decomposition reframes it: within-study variance (Level 2, 76.1%) is the dominant source, not between-country differences (Level 3, 11.8%), methodological choices within papers contribute substantially more to dispersion than cross-country institutional contexts.</w:t>
      </w:r>
    </w:p>
    <w:p>
      <w:pPr>
        <w:pStyle w:val="BodyText"/>
      </w:pPr>
      <w:r>
        <w:rPr>
          <w:bCs/>
          <w:b/>
        </w:rPr>
        <w:t xml:space="preserve">Future research.</w:t>
      </w:r>
      <w:r>
        <w:t xml:space="preserve"> </w:t>
      </w:r>
      <w:r>
        <w:t xml:space="preserve">Three directions follow from the null moderator findings. First, a formal WoS/Scopus search targeting Frontier and SIDS economies would lift Frontier</w:t>
      </w:r>
      <w:r>
        <w:t xml:space="preserve"> </w:t>
      </w:r>
      <w:r>
        <w:rPr>
          <w:iCs/>
          <w:i/>
        </w:rPr>
        <w:t xml:space="preserve">k</w:t>
      </w:r>
      <w:r>
        <w:t xml:space="preserve"> </w:t>
      </w:r>
      <w:r>
        <w:t xml:space="preserve">from 3 to a plausible 20–40, enabling a powered between-regime test. Second, a pre-registered replication with explicit per-cell power calibrated to</w:t>
      </w:r>
      <w:r>
        <w:t xml:space="preserve"> </w:t>
      </w:r>
      <w:r>
        <w:rPr>
          <w:iCs/>
          <w:i/>
        </w:rPr>
        <w:t xml:space="preserve">r</w:t>
      </w:r>
      <w:r>
        <w:t xml:space="preserve"> </w:t>
      </w:r>
      <w:r>
        <w:t xml:space="preserve">≈ .035 on a</w:t>
      </w:r>
      <w:r>
        <w:t xml:space="preserve"> </w:t>
      </w:r>
      <w:r>
        <w:rPr>
          <w:iCs/>
          <w:i/>
        </w:rPr>
        <w:t xml:space="preserve">k</w:t>
      </w:r>
      <w:r>
        <w:t xml:space="preserve"> </w:t>
      </w:r>
      <w:r>
        <w:t xml:space="preserve">≥ 400 corpus would deliver a definitive moderator test. Third, the publication-bias finding motivates a dedicated audit of unpublished I-P results (surveys, grey literature, dissertations) to bound the true population effect more precisely than trim-and-fill alone (see §5.4 for the full inferential-bound argument).</w:t>
      </w:r>
    </w:p>
    <w:p>
      <w:r>
        <w:pict>
          <v:rect style="width:0;height:1.5pt" o:hralign="center" o:hrstd="t" o:hr="t"/>
        </w:pict>
      </w:r>
    </w:p>
    <w:bookmarkEnd w:id="75"/>
    <w:bookmarkStart w:id="7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6"/>
    <w:bookmarkStart w:id="77" w:name="competing-interests"/>
    <w:p>
      <w:pPr>
        <w:pStyle w:val="Heading2"/>
      </w:pPr>
      <w:r>
        <w:t xml:space="preserve">Competing Interests</w:t>
      </w:r>
    </w:p>
    <w:p>
      <w:pPr>
        <w:pStyle w:val="FirstParagraph"/>
      </w:pPr>
      <w:r>
        <w:t xml:space="preserve">The authors declare no conflict of interest.</w:t>
      </w:r>
    </w:p>
    <w:bookmarkEnd w:id="77"/>
    <w:bookmarkStart w:id="78"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8"/>
    <w:bookmarkStart w:id="84"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9">
        <w:r>
          <w:rPr>
            <w:rStyle w:val="Hyperlink"/>
          </w:rPr>
          <w:t xml:space="preserve">https://doi.org/10.1001/jama.1990.03440100097014</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80">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81">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82">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3">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4"/>
    <w:bookmarkStart w:id="85" w:name="supplementary-materials-osf"/>
    <w:p>
      <w:pPr>
        <w:pStyle w:val="Heading2"/>
      </w:pPr>
      <w:r>
        <w:t xml:space="preserve">Supplementary Materials (OSF)</w:t>
      </w:r>
    </w:p>
    <w:p>
      <w:pPr>
        <w:pStyle w:val="FirstParagraph"/>
      </w:pPr>
      <w:r>
        <w:t xml:space="preserve">The complete PRISMA 2020 flow diagram with both Path A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 anchor-meta-analysis citation tracking and hand-search) and Path B (database-search expansion, full-text extraction ongoing) is provided as</w:t>
      </w:r>
      <w:r>
        <w:t xml:space="preserve"> </w:t>
      </w:r>
      <w:r>
        <w:rPr>
          <w:bCs/>
          <w:b/>
        </w:rPr>
        <w:t xml:space="preserve">Supp-A</w:t>
      </w:r>
      <w:r>
        <w:t xml:space="preserve">; the full 7-moderator coding protocol as</w:t>
      </w:r>
      <w:r>
        <w:t xml:space="preserve"> </w:t>
      </w:r>
      <w:r>
        <w:rPr>
          <w:bCs/>
          <w:b/>
        </w:rPr>
        <w:t xml:space="preserve">Supp-B</w:t>
      </w:r>
      <w:r>
        <w:t xml:space="preserve">; the MetaEssentials-vs-</w:t>
      </w:r>
      <w:r>
        <w:rPr>
          <w:rStyle w:val="VerbatimChar"/>
        </w:rPr>
        <w:t xml:space="preserve">metafor</w:t>
      </w:r>
      <w:r>
        <w:t xml:space="preserve"> </w:t>
      </w:r>
      <w:r>
        <w:t xml:space="preserve">consistency check as</w:t>
      </w:r>
      <w:r>
        <w:t xml:space="preserve"> </w:t>
      </w:r>
      <w:r>
        <w:rPr>
          <w:bCs/>
          <w:b/>
        </w:rPr>
        <w:t xml:space="preserve">Supp-C</w:t>
      </w:r>
      <w:r>
        <w:t xml:space="preserve">; the detailed eligibility criteria as</w:t>
      </w:r>
      <w:r>
        <w:t xml:space="preserve"> </w:t>
      </w:r>
      <w:r>
        <w:rPr>
          <w:bCs/>
          <w:b/>
        </w:rPr>
        <w:t xml:space="preserve">Supp-T1</w:t>
      </w:r>
      <w:r>
        <w:t xml:space="preserve">; the cDAI and DPL phase subgroup tables as</w:t>
      </w:r>
      <w:r>
        <w:t xml:space="preserve"> </w:t>
      </w:r>
      <w:r>
        <w:rPr>
          <w:bCs/>
          <w:b/>
        </w:rPr>
        <w:t xml:space="preserve">Supp-T2</w:t>
      </w:r>
      <w:r>
        <w:t xml:space="preserve"> </w:t>
      </w:r>
      <w:r>
        <w:t xml:space="preserve">and</w:t>
      </w:r>
      <w:r>
        <w:t xml:space="preserve"> </w:t>
      </w:r>
      <w:r>
        <w:rPr>
          <w:bCs/>
          <w:b/>
        </w:rPr>
        <w:t xml:space="preserve">Supp-T3</w:t>
      </w:r>
      <w:r>
        <w:t xml:space="preserve">; the full robustness-checks table as</w:t>
      </w:r>
      <w:r>
        <w:t xml:space="preserve"> </w:t>
      </w:r>
      <w:r>
        <w:rPr>
          <w:bCs/>
          <w:b/>
        </w:rPr>
        <w:t xml:space="preserve">Supp-T4</w:t>
      </w:r>
      <w:r>
        <w:t xml:space="preserve">; the detailed Section 3.2 PRISMA screening narrative as</w:t>
      </w:r>
      <w:r>
        <w:t xml:space="preserve"> </w:t>
      </w:r>
      <w:r>
        <w:rPr>
          <w:bCs/>
          <w:b/>
        </w:rPr>
        <w:t xml:space="preserve">Supp-T5</w:t>
      </w:r>
      <w:r>
        <w:t xml:space="preserve">; and the extended methodological notes (three-level model specification, publication-bias tests, robustness-check specifications) as</w:t>
      </w:r>
      <w:r>
        <w:t xml:space="preserve"> </w:t>
      </w:r>
      <w:r>
        <w:rPr>
          <w:bCs/>
          <w:b/>
        </w:rPr>
        <w:t xml:space="preserve">Supp-M</w:t>
      </w:r>
      <w:r>
        <w:t xml:space="preserve">. All items are deposited on OSF (</w:t>
      </w:r>
      <w:hyperlink r:id="rId32">
        <w:r>
          <w:rPr>
            <w:rStyle w:val="Hyperlink"/>
          </w:rPr>
          <w:t xml:space="preserve">https://osf.io/z37kn</w:t>
        </w:r>
      </w:hyperlink>
      <w:r>
        <w:t xml:space="preserve">).</w:t>
      </w:r>
    </w:p>
    <w:p>
      <w:r>
        <w:pict>
          <v:rect style="width:0;height:1.5pt" o:hralign="center" o:hrstd="t" o:hr="t"/>
        </w:pict>
      </w:r>
    </w:p>
    <w:p>
      <w:pPr>
        <w:pStyle w:val="FirstParagraph"/>
      </w:pPr>
      <w:r>
        <w:rPr>
          <w:iCs/>
          <w:i/>
        </w:rPr>
        <w:t xml:space="preserve">Word count (main text Sections 1–6 prose, excluding tables, references, in-paper tables, and OSF supplementary materials):</w:t>
      </w:r>
      <w:r>
        <w:rPr>
          <w:iCs/>
          <w:i/>
        </w:rPr>
        <w:t xml:space="preserve"> </w:t>
      </w:r>
      <m:oMath>
        <m:r>
          <m:rPr>
            <m:sty m:val="p"/>
          </m:rPr>
          <m:t>≈</m:t>
        </m:r>
      </m:oMath>
      <w:r>
        <w:rPr>
          <w:iCs/>
          <w:i/>
        </w:rPr>
        <w:t xml:space="preserve"> </w:t>
      </w:r>
      <w:r>
        <w:rPr>
          <w:iCs/>
          <w:i/>
        </w:rPr>
        <w:t xml:space="preserve">8,040 words. Submission-build total (body + references + 3 in-paper tables × 280 + 7 figures × 280):</w:t>
      </w:r>
      <w:r>
        <w:rPr>
          <w:iCs/>
          <w:i/>
        </w:rPr>
        <w:t xml:space="preserve"> </w:t>
      </w:r>
      <m:oMath>
        <m:r>
          <m:rPr>
            <m:sty m:val="p"/>
          </m:rPr>
          <m:t>≈</m:t>
        </m:r>
      </m:oMath>
      <w:r>
        <w:rPr>
          <w:iCs/>
          <w:i/>
        </w:rPr>
        <w:t xml:space="preserve"> </w:t>
      </w:r>
      <w:r>
        <w:rPr>
          <w:iCs/>
          <w:i/>
        </w:rPr>
        <w:t xml:space="preserve">11,966 word-equivalents, within MIR's</w:t>
      </w:r>
      <w:r>
        <w:rPr>
          <w:iCs/>
          <w:i/>
        </w:rPr>
        <w:t xml:space="preserve"> </w:t>
      </w:r>
      <m:oMath>
        <m:r>
          <m:rPr>
            <m:sty m:val="p"/>
          </m:rPr>
          <m:t>≈</m:t>
        </m:r>
      </m:oMath>
      <w:r>
        <w:rPr>
          <w:iCs/>
          <w:i/>
        </w:rPr>
        <w:t xml:space="preserve"> </w:t>
      </w:r>
      <w:r>
        <w:rPr>
          <w:iCs/>
          <w:i/>
        </w:rPr>
        <w:t xml:space="preserve">12,000-word envelope. Revision v1.3 addresses the publication-bias paradox (§5.2), construct-validity restriction of cDAI (§4.4), drop-Frontier-led ICRV framing (§4.3), and a fifth disclosed pre-registration deviation (§3.1).</w:t>
      </w:r>
      <w:r>
        <w:t xml:space="preserve"> </w:t>
      </w:r>
      <w:r>
        <w:rPr>
          <w:iCs/>
          <w:i/>
        </w:rPr>
        <w:t xml:space="preserve">Target journal: Management International Review (MIR; Springer, Scopus Q1, ABS-3). Extended methodological appendices (PRISMA 2020 flow; 7-moderator coding protocol; MetaEssentials-vs-</w:t>
      </w:r>
      <w:r>
        <w:rPr>
          <w:rStyle w:val="VerbatimChar"/>
          <w:iCs/>
          <w:i/>
        </w:rPr>
        <w:t xml:space="preserve">metafor</w:t>
      </w:r>
      <w:r>
        <w:rPr>
          <w:iCs/>
          <w:i/>
        </w:rPr>
        <w:t xml:space="preserve"> </w:t>
      </w:r>
      <w:r>
        <w:rPr>
          <w:iCs/>
          <w:i/>
        </w:rPr>
        <w:t xml:space="preserve">consistency check), the detailed eligibility criteria, the cDAI and DPL subgroup tables, the full robustness-checks table, the Section 3.2 PRISMA screening narrative, and extended methodological notes are migrated to OSF as Supp-A through Supp-M (</w:t>
      </w:r>
      <w:hyperlink r:id="rId32">
        <w:r>
          <w:rPr>
            <w:rStyle w:val="Hyperlink"/>
            <w:iCs/>
            <w:i/>
          </w:rPr>
          <w:t xml:space="preserve">https://osf.io/z37kn</w:t>
        </w:r>
      </w:hyperlink>
      <w:r>
        <w:rPr>
          <w:iCs/>
          <w:i/>
        </w:rPr>
        <w:t xml:space="preserve">). Analyses use the verified baseline corpus (k = 238 studies, K = 288 effect sizes); the formal WoS/Scopus search expansion is ongoing and will be incorporated at revision. Effect-size coding follows the standardized protocol summarized in Section 3.4 and detailed in Supp-B.</w:t>
      </w:r>
    </w:p>
    <w:bookmarkEnd w:id="85"/>
    <w:bookmarkEnd w:id="8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47" Target="media/rId47.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hyperlink" Id="rId79" Target="https://doi.org/10.1001/jama.1990.03440100097014" TargetMode="External" /><Relationship Type="http://schemas.openxmlformats.org/officeDocument/2006/relationships/hyperlink" Id="rId82" Target="https://doi.org/10.1136/bmj.n71" TargetMode="External" /><Relationship Type="http://schemas.openxmlformats.org/officeDocument/2006/relationships/hyperlink" Id="rId81"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3"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1/jama.1990.03440100097014" TargetMode="External" /><Relationship Type="http://schemas.openxmlformats.org/officeDocument/2006/relationships/hyperlink" Id="rId82" Target="https://doi.org/10.1136/bmj.n71" TargetMode="External" /><Relationship Type="http://schemas.openxmlformats.org/officeDocument/2006/relationships/hyperlink" Id="rId81"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3"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2026-05-31T00:11:16Z</dcterms:created>
  <dcterms:modified xsi:type="dcterms:W3CDTF">2026-05-31T00:11:16Z</dcterms:modified>
</cp:coreProperties>
</file>

<file path=docProps/custom.xml><?xml version="1.0" encoding="utf-8"?>
<Properties xmlns="http://schemas.openxmlformats.org/officeDocument/2006/custom-properties" xmlns:vt="http://schemas.openxmlformats.org/officeDocument/2006/docPropsVTypes"/>
</file>