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143.png" ContentType="image/png"/>
  <Override PartName="/word/media/rId140.png" ContentType="image/png"/>
  <Override PartName="/word/media/rId160.png" ContentType="image/png"/>
  <Override PartName="/word/media/rId147.png" ContentType="image/png"/>
  <Override PartName="/word/media/rId151.png" ContentType="image/png"/>
  <Override PartName="/word/media/rId163.png" ContentType="image/png"/>
  <Override PartName="/word/media/rId211.png" ContentType="image/png"/>
  <Override PartName="/word/media/rId1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rPr>
          <w:bCs/>
          <w:b/>
        </w:rPr>
        <w:t xml:space="preserve">TRƯỜNG ĐẠI HỌC CẦN THƠ</w:t>
      </w:r>
    </w:p>
    <w:p>
      <w:pPr>
        <w:pStyle w:val="BodyText"/>
      </w:pPr>
      <w:r>
        <w:t xml:space="preserve"> </w:t>
      </w:r>
      <w:r>
        <w:t xml:space="preserve"> </w:t>
      </w:r>
      <w:r>
        <w:t xml:space="preserve"> </w:t>
      </w:r>
    </w:p>
    <w:p>
      <w:pPr>
        <w:pStyle w:val="BodyText"/>
      </w:pPr>
      <w:r>
        <w:rPr>
          <w:bCs/>
          <w:b/>
        </w:rPr>
        <w:t xml:space="preserve">ĐỖ THÙY HƯƠNG</w:t>
      </w:r>
    </w:p>
    <w:p>
      <w:pPr>
        <w:pStyle w:val="BodyText"/>
      </w:pPr>
      <w:r>
        <w:t xml:space="preserve"> </w:t>
      </w:r>
      <w:r>
        <w:t xml:space="preserve"> </w:t>
      </w:r>
      <w:r>
        <w:t xml:space="preserve"> </w:t>
      </w:r>
    </w:p>
    <w:p>
      <w:pPr>
        <w:pStyle w:val="BodyText"/>
      </w:pPr>
      <w:r>
        <w:rPr>
          <w:bCs/>
          <w:b/>
        </w:rPr>
        <w:t xml:space="preserve">QUỐC TẾ HÓA VÀ HIỆU QUẢ HOẠT ĐỘNG KINH DOANH CỦA CÁC DOANH NGHIỆP Ở CHÂU Á</w:t>
      </w:r>
    </w:p>
    <w:p>
      <w:pPr>
        <w:pStyle w:val="BodyText"/>
      </w:pPr>
      <w:r>
        <w:t xml:space="preserve"> </w:t>
      </w:r>
      <w:r>
        <w:t xml:space="preserve"> </w:t>
      </w:r>
      <w:r>
        <w:t xml:space="preserve"> </w:t>
      </w:r>
    </w:p>
    <w:p>
      <w:pPr>
        <w:pStyle w:val="BodyText"/>
      </w:pPr>
      <w:r>
        <w:rPr>
          <w:bCs/>
          <w:b/>
        </w:rPr>
        <w:t xml:space="preserve">LUẬN ÁN TIẾN SĨ</w:t>
      </w:r>
      <w:r>
        <w:t xml:space="preserve"> </w:t>
      </w:r>
      <w:r>
        <w:t xml:space="preserve">NGÀNH QUẢN TRỊ KINH DOANH</w:t>
      </w:r>
    </w:p>
    <w:p>
      <w:pPr>
        <w:pStyle w:val="BodyText"/>
      </w:pPr>
      <w:r>
        <w:t xml:space="preserve"> </w:t>
      </w:r>
      <w:r>
        <w:t xml:space="preserve"> </w:t>
      </w:r>
      <w:r>
        <w:t xml:space="preserve"> </w:t>
      </w:r>
    </w:p>
    <w:p>
      <w:pPr>
        <w:pStyle w:val="BodyText"/>
      </w:pPr>
      <w:r>
        <w:t xml:space="preserve">CẦN THƠ, NĂM 2026</w:t>
      </w:r>
    </w:p>
    <w:p>
      <w:pPr>
        <w:pStyle w:val="BodyText"/>
      </w:pPr>
      <w:r>
        <w:t xml:space="preserve">BỘ GIÁO DỤC VÀ ĐÀO TẠO</w:t>
      </w:r>
      <w:r>
        <w:t xml:space="preserve"> </w:t>
      </w:r>
      <w:r>
        <w:rPr>
          <w:bCs/>
          <w:b/>
        </w:rPr>
        <w:t xml:space="preserve">TRƯỜNG ĐẠI HỌC CẦN THƠ</w:t>
      </w:r>
    </w:p>
    <w:p>
      <w:pPr>
        <w:pStyle w:val="BodyText"/>
      </w:pPr>
      <w:r>
        <w:t xml:space="preserve"> </w:t>
      </w:r>
      <w:r>
        <w:t xml:space="preserve"> </w:t>
      </w:r>
      <w:r>
        <w:t xml:space="preserve"> </w:t>
      </w:r>
    </w:p>
    <w:p>
      <w:pPr>
        <w:pStyle w:val="BodyText"/>
      </w:pPr>
      <w:r>
        <w:rPr>
          <w:bCs/>
          <w:b/>
        </w:rPr>
        <w:t xml:space="preserve">ĐỖ THÙY HƯƠNG</w:t>
      </w:r>
    </w:p>
    <w:p>
      <w:pPr>
        <w:pStyle w:val="BodyText"/>
      </w:pPr>
      <w:r>
        <w:t xml:space="preserve"> </w:t>
      </w:r>
    </w:p>
    <w:p>
      <w:pPr>
        <w:pStyle w:val="BodyText"/>
      </w:pPr>
      <w:r>
        <w:rPr>
          <w:bCs/>
          <w:b/>
        </w:rPr>
        <w:t xml:space="preserve">QUỐC TẾ HÓA VÀ HIỆU QUẢ HOẠT ĐỘNG KINH DOANH CỦA CÁC DOANH NGHIỆP Ở CHÂU Á</w:t>
      </w:r>
    </w:p>
    <w:p>
      <w:pPr>
        <w:pStyle w:val="BodyText"/>
      </w:pPr>
      <w:r>
        <w:t xml:space="preserve"> </w:t>
      </w:r>
      <w:r>
        <w:t xml:space="preserve"> </w:t>
      </w:r>
      <w:r>
        <w:t xml:space="preserve"> </w:t>
      </w:r>
    </w:p>
    <w:p>
      <w:pPr>
        <w:pStyle w:val="BodyText"/>
      </w:pPr>
      <w:r>
        <w:rPr>
          <w:bCs/>
          <w:b/>
        </w:rPr>
        <w:t xml:space="preserve">LUẬN ÁN TIẾN SĨ</w:t>
      </w:r>
      <w:r>
        <w:t xml:space="preserve"> </w:t>
      </w:r>
      <w:r>
        <w:t xml:space="preserve">NGÀNH QUẢN TRỊ KINH DOANH</w:t>
      </w:r>
      <w:r>
        <w:t xml:space="preserve"> </w:t>
      </w:r>
      <w:r>
        <w:t xml:space="preserve">MÃ NGÀNH: 9340101</w:t>
      </w:r>
    </w:p>
    <w:p>
      <w:pPr>
        <w:pStyle w:val="BodyText"/>
      </w:pPr>
      <w:r>
        <w:t xml:space="preserve"> </w:t>
      </w:r>
      <w:r>
        <w:t xml:space="preserve"> </w:t>
      </w:r>
      <w:r>
        <w:t xml:space="preserve"> </w:t>
      </w:r>
    </w:p>
    <w:p>
      <w:pPr>
        <w:pStyle w:val="BodyText"/>
      </w:pPr>
      <w:r>
        <w:rPr>
          <w:bCs/>
          <w:b/>
        </w:rPr>
        <w:t xml:space="preserve">NGƯỜI HƯỚNG DẪN KHOA HỌC</w:t>
      </w:r>
      <w:r>
        <w:t xml:space="preserve"> </w:t>
      </w:r>
      <w:r>
        <w:t xml:space="preserve">PGS.TS. PHAN ANH TÚ</w:t>
      </w:r>
    </w:p>
    <w:p>
      <w:pPr>
        <w:pStyle w:val="BodyText"/>
      </w:pPr>
      <w:r>
        <w:t xml:space="preserve"> </w:t>
      </w:r>
      <w:r>
        <w:t xml:space="preserve"> </w:t>
      </w:r>
      <w:r>
        <w:t xml:space="preserve"> </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0"/>
    <w:bookmarkStart w:id="21"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1"/>
    <w:bookmarkStart w:id="22"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1982–2026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quan hệ I–P chuyển thành âm đơn điệu không có điểm uốn, hiện tượng được luận án đặt tên là</w:t>
      </w:r>
      <w:r>
        <w:t xml:space="preserve"> </w:t>
      </w:r>
      <w:r>
        <w:rPr>
          <w:bCs/>
          <w:b/>
        </w:rPr>
        <w:t xml:space="preserve">gánh nặng quốc tế hóa bắt buộc (Forced Internationalization Penalty, FIP)</w:t>
      </w:r>
      <w:r>
        <w:t xml:space="preserve">. Luận án đóng góp khung tích hợp đa tầng, taxonomy thể chế ICRV, và construct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2"/>
    <w:bookmarkStart w:id="23"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1982–2026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the relationship becomes monotonically negative with no turning point, a phenomenon the dissertation names the</w:t>
      </w:r>
      <w:r>
        <w:t xml:space="preserve"> </w:t>
      </w:r>
      <w:r>
        <w:rPr>
          <w:bCs/>
          <w:b/>
        </w:rPr>
        <w:t xml:space="preserve">Forced Internationalization Penalty (FIP)</w:t>
      </w:r>
      <w:r>
        <w:t xml:space="preserve">.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p>
      <w:r>
        <w:pict>
          <v:rect style="width:0;height:1.5pt" o:hralign="center" o:hrstd="t" o:hr="t"/>
        </w:pict>
      </w:r>
    </w:p>
    <w:bookmarkEnd w:id="23"/>
    <w:bookmarkStart w:id="24" w:name="mục-lục"/>
    <w:p>
      <w:pPr>
        <w:pStyle w:val="Heading2"/>
      </w:pPr>
      <w:r>
        <w:t xml:space="preserve">MỤC LỤC</w:t>
      </w:r>
    </w:p>
    <w:p>
      <w:pPr>
        <w:pStyle w:val="FirstParagraph"/>
      </w:pPr>
      <w:r>
        <w:rPr>
          <w:bCs/>
          <w:b/>
        </w:rPr>
        <w:t xml:space="preserve">MỞ ĐẦU</w:t>
      </w:r>
      <w:r>
        <w:t xml:space="preserve">, Lời cam đoan, Lời cảm ơn, Tóm tắt, Abstract, Danh mục từ viết tắt, Danh mục bảng, Danh mục hình, Danh mục công trình</w:t>
      </w:r>
    </w:p>
    <w:p>
      <w:pPr>
        <w:pStyle w:val="BodyText"/>
      </w:pPr>
      <w:r>
        <w:rPr>
          <w:bCs/>
          <w:b/>
        </w:rPr>
        <w:t xml:space="preserve">CHƯƠNG 1. GIỚI THIỆU</w:t>
      </w:r>
      <w:r>
        <w:t xml:space="preserve"> </w:t>
      </w:r>
      <w:r>
        <w:t xml:space="preserve">- 1.1 Bối cảnh nghiên cứu, 1.2 Vấn đề nghiên cứu, 1.3 Mục tiêu, 1.4 Câu hỏi nghiên cứu</w:t>
      </w:r>
      <w:r>
        <w:t xml:space="preserve"> </w:t>
      </w:r>
      <w:r>
        <w:t xml:space="preserve">- 1.5 Đối tượng và phạm vi, 1.6 Phương pháp luận, 1.7 Giả thuyết khoa học (tóm tắt)</w:t>
      </w:r>
      <w:r>
        <w:t xml:space="preserve"> </w:t>
      </w:r>
      <w:r>
        <w:t xml:space="preserve">- 1.8 Ý nghĩa khoa học và thực tiễn, 1.9 Tính mới, 1.10 Cấu trúc của luận án</w:t>
      </w:r>
    </w:p>
    <w:p>
      <w:pPr>
        <w:pStyle w:val="BodyText"/>
      </w:pPr>
      <w:r>
        <w:rPr>
          <w:bCs/>
          <w:b/>
        </w:rPr>
        <w:t xml:space="preserve">CHƯƠNG 2. CƠ SỞ LÝ THUYẾT VÀ TỔNG QUAN TÀI LIỆU</w:t>
      </w:r>
      <w:r>
        <w:t xml:space="preserve"> </w:t>
      </w:r>
      <w:r>
        <w:t xml:space="preserve">- 2.1 Các khái niệm cốt lõi, 2.2 Các lý thuyết nền, 2.3 Tổng quan thực nghiệm</w:t>
      </w:r>
      <w:r>
        <w:t xml:space="preserve"> </w:t>
      </w:r>
      <w:r>
        <w:t xml:space="preserve">- 2.4 Khoảng trống nghiên cứu, 2.5 Mô hình nghiên cứu và hệ giả thuyết (H1–H6, H1b, H1c), 2.6 Tóm tắt chương</w:t>
      </w:r>
    </w:p>
    <w:p>
      <w:pPr>
        <w:pStyle w:val="BodyText"/>
      </w:pPr>
      <w:r>
        <w:rPr>
          <w:bCs/>
          <w:b/>
        </w:rPr>
        <w:t xml:space="preserve">CHƯƠNG 3. PHƯƠNG PHÁP NGHIÊN CỨU</w:t>
      </w:r>
      <w:r>
        <w:t xml:space="preserve"> </w:t>
      </w:r>
      <w:r>
        <w:t xml:space="preserve">- 3.1 Thiết kế nghiên cứu tổng thể, 3.2 Phase 1: Meta-analysis 1982–2026, 3.3 Phase 2: Phân tích thực nghiệm đa quốc gia</w:t>
      </w:r>
      <w:r>
        <w:t xml:space="preserve"> </w:t>
      </w:r>
      <w:r>
        <w:t xml:space="preserve">- 3.4 Mô hình phân tích (M0–M11), 3.5 Kiểm định độ vững, 3.6 Tóm tắt phương pháp, 3.7 Đạo đức nghiên cứu</w:t>
      </w:r>
    </w:p>
    <w:p>
      <w:pPr>
        <w:pStyle w:val="BodyText"/>
      </w:pPr>
      <w:r>
        <w:rPr>
          <w:bCs/>
          <w:b/>
        </w:rPr>
        <w:t xml:space="preserve">CHƯƠNG 4. KẾT QUẢ NGHIÊN CỨU</w:t>
      </w:r>
      <w:r>
        <w:t xml:space="preserve"> </w:t>
      </w:r>
      <w:r>
        <w:t xml:space="preserve">- 4.1 Thực trạng quốc tế hóa và hiệu quả tại châu Á theo nhóm ICRV</w:t>
      </w:r>
      <w:r>
        <w:t xml:space="preserve"> </w:t>
      </w:r>
      <w:r>
        <w:t xml:space="preserve">- 4.2 Meta-analysis ba tầng (P6), 4.3 Singapore (P4), 4.4 Trung Quốc (P5), 4.5 Việt Nam (P3)</w:t>
      </w:r>
      <w:r>
        <w:t xml:space="preserve"> </w:t>
      </w:r>
      <w:r>
        <w:t xml:space="preserve">- 4.6 Kiểm định toàn mẫu đa bối cảnh (P7), 4.7 SIDS (P8), 4.8 Ấn Độ (P9), 4.9 Tam giác hóa với bằng chứng vĩ mô WB, 4.10 Tổng hợp theo hệ giả thuyết</w:t>
      </w:r>
    </w:p>
    <w:p>
      <w:pPr>
        <w:pStyle w:val="BodyText"/>
      </w:pPr>
      <w:r>
        <w:rPr>
          <w:bCs/>
          <w:b/>
        </w:rPr>
        <w:t xml:space="preserve">CHƯƠNG 5. THẢO LUẬN VÀ KẾT LUẬN</w:t>
      </w:r>
      <w:r>
        <w:t xml:space="preserve"> </w:t>
      </w:r>
      <w:r>
        <w:t xml:space="preserve">- 5.1 Bàn luận theo khung CDCM, 5.2 So sánh nghiên cứu trước, 5.3 Đóng góp lý thuyết</w:t>
      </w:r>
      <w:r>
        <w:t xml:space="preserve"> </w:t>
      </w:r>
      <w:r>
        <w:t xml:space="preserve">- 5.4 Đề xuất chính sách và quản trị, 5.5 Hạn chế và hướng tương lai, 5.6 Kết luận</w:t>
      </w:r>
    </w:p>
    <w:p>
      <w:pPr>
        <w:pStyle w:val="BodyText"/>
      </w:pPr>
      <w:r>
        <w:rPr>
          <w:bCs/>
          <w:b/>
        </w:rPr>
        <w:t xml:space="preserve">TÀI LIỆU THAM KHẢO</w:t>
      </w:r>
      <w:r>
        <w:t xml:space="preserve"> </w:t>
      </w:r>
      <w:r>
        <w:t xml:space="preserve">(APA 7th)</w:t>
      </w:r>
      <w:r>
        <w:t xml:space="preserve"> </w:t>
      </w:r>
      <w:r>
        <w:rPr>
          <w:bCs/>
          <w:b/>
        </w:rPr>
        <w:t xml:space="preserve">PHỤ LỤC A</w:t>
      </w:r>
      <w:r>
        <w:t xml:space="preserve">, Quy trình hợp nhất và hài hòa hóa dữ liệu WBES đa quốc gia (S1–S6, Hình A.1)</w:t>
      </w:r>
    </w:p>
    <w:p>
      <w:pPr>
        <w:pStyle w:val="BodyText"/>
      </w:pPr>
      <w:r>
        <w:rPr>
          <w:iCs/>
          <w:i/>
        </w:rPr>
        <w:t xml:space="preserve">(Số trang được sinh tự động khi xuất bản bản cuối.)</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(construct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meta-analysis</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5"/>
    <w:bookmarkStart w:id="26"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chương, giả thuyết (Chương 2)</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Nhóm I (Chương 4, Mục 4.1.5)</w:t>
      </w:r>
      <w:r>
        <w:t xml:space="preserve"> </w:t>
      </w:r>
      <w:r>
        <w:t xml:space="preserve">- Bảng 4.4. Tiến triển các mô hình lồng nhau của P7 trên khung 50 nền (Chương 4, Mục 4.6)</w:t>
      </w:r>
      <w:r>
        <w:t xml:space="preserve"> </w:t>
      </w:r>
      <w:r>
        <w:t xml:space="preserve">- Bảng 4.5. Điểm uốn theo nhóm ICRV, khung 50 nền (Chương 4, Mục 4.6)</w:t>
      </w:r>
      <w:r>
        <w:t xml:space="preserve"> </w:t>
      </w:r>
      <w:r>
        <w:t xml:space="preserve">- Bảng 4.6. Điểm uốn theo đợt khảo sát, Ấn Độ (Chương 4, Mục 4.8)</w:t>
      </w:r>
      <w:r>
        <w:t xml:space="preserve"> </w:t>
      </w:r>
      <w:r>
        <w:t xml:space="preserve">- Bảng 4.7.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6"/>
    <w:bookmarkStart w:id="27"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4.1. Họ đường cong I–P phụ thuộc chế độ thể chế ICRV (Chương 4)</w:t>
      </w:r>
    </w:p>
    <w:p>
      <w:pPr>
        <w:numPr>
          <w:ilvl w:val="0"/>
          <w:numId w:val="1001"/>
        </w:numPr>
        <w:pStyle w:val="Compact"/>
      </w:pPr>
      <w:r>
        <w:t xml:space="preserve">Các hình mô tả bổ sung (phân bố pool theo năm, cơ cấu pool, mật độ năng suất, quy mô doanh nghiệp) lưu tại</w:t>
      </w:r>
      <w:r>
        <w:t xml:space="preserve"> </w:t>
      </w:r>
      <w:r>
        <w:rPr>
          <w:rStyle w:val="VerbatimChar"/>
        </w:rPr>
        <w:t xml:space="preserve">thesis/figures/</w:t>
      </w:r>
      <w:r>
        <w:t xml:space="preserve">.</w:t>
      </w:r>
    </w:p>
    <w:p>
      <w:r>
        <w:pict>
          <v:rect style="width:0;height:1.5pt" o:hralign="center" o:hrstd="t" o:hr="t"/>
        </w:pict>
      </w:r>
    </w:p>
    <w:bookmarkEnd w:id="27"/>
    <w:bookmarkStart w:id="28"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P1–P9) của nghiên cứu sinh. Các công trình được phân tách rõ theo trạng thái công bố.</w:t>
      </w:r>
    </w:p>
    <w:p>
      <w:pPr>
        <w:pStyle w:val="BodyText"/>
      </w:pPr>
      <w:r>
        <w:rPr>
          <w:bCs/>
          <w:b/>
        </w:rPr>
        <w:t xml:space="preserve">A. Đã công bố (peer-reviewed)</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(Cơ sở baseline meta-analysis,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prior author work.)</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upper-middle).</w:t>
      </w:r>
      <w:r>
        <w:t xml:space="preserve"> </w:t>
      </w:r>
      <w:r>
        <w:rPr>
          <w:iCs/>
          <w:i/>
        </w:rPr>
        <w:t xml:space="preserve">[Bản thảo đang bình duyệt.]</w:t>
      </w:r>
    </w:p>
    <w:p>
      <w:pPr>
        <w:numPr>
          <w:ilvl w:val="0"/>
          <w:numId w:val="1003"/>
        </w:numPr>
        <w:pStyle w:val="Compact"/>
      </w:pPr>
      <w:r>
        <w:t xml:space="preserve">Nghiên cứu thành phần P6, Meta-analysis ba tầng mở rộng 1982–2026.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(capstone).</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gradient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p>
      <w:r>
        <w:br w:type="page"/>
      </w:r>
    </w:p>
    <w:bookmarkEnd w:id="28"/>
    <w:bookmarkStart w:id="29" w:name="chương-1-giới-thiệu"/>
    <w:p>
      <w:pPr>
        <w:pStyle w:val="Heading1"/>
      </w:pPr>
      <w:r>
        <w:t xml:space="preserve">CHƯƠNG 1: GIỚI THIỆU</w:t>
      </w:r>
    </w:p>
    <w:bookmarkEnd w:id="29"/>
    <w:p>
      <w:r>
        <w:pict>
          <v:rect style="width:0;height:1.5pt" o:hralign="center" o:hrstd="t" o:hr="t"/>
        </w:pict>
      </w:r>
    </w:p>
    <w:bookmarkStart w:id="32"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30" w:name="Xc1dcee8f5373723512b0db114b71fe5e38a510a"/>
    <w:p>
      <w:pPr>
        <w:pStyle w:val="Heading3"/>
      </w:pPr>
      <w:r>
        <w:t xml:space="preserve">1.1.1 Bối cảnh đương đại: thách thức việc làm, gradient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30"/>
    <w:bookmarkStart w:id="31"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doanh nghiệp gắn trực tiếp với năng lực hấp thụ lực lượng lao động trẻ đang gia tăng nhanh trong khu vực.</w:t>
      </w:r>
    </w:p>
    <w:p>
      <w:pPr>
        <w:pStyle w:val="BodyText"/>
      </w:pPr>
      <w:r>
        <w:t xml:space="preserve">Gradient thể chế (institutional gradient)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31"/>
    <w:bookmarkEnd w:id="32"/>
    <w:bookmarkStart w:id="33"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cần được phát biểu sắc nét hơn để làm rõ rằng chúng không phải là ba thiếu sót rời rạc mà là ba biểu hiện của cùng một hạn chế nền tảng: văn liệu hiện hành thiếu một cấu trúc giải thích đủ phân tầng để nắm bắt mức dị biệt cao của quan hệ quốc tế hóa và hiệu quả. Về khoảng trống thứ nhất, không một lý thuyết đơn lẻ nào, dù là mô hình Uppsala, lý thuyết dựa trên nguồn lực hay lý thuyết thể chế, cung cấp được một lý giải đầy đủ cho sự dị biệt đó, bởi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w:t>
      </w:r>
    </w:p>
    <w:p>
      <w:pPr>
        <w:pStyle w:val="BodyText"/>
      </w:pPr>
      <w:r>
        <w:t xml:space="preserve">Về khoảng trống thứ hai, sự đồng nhất không hợp lý giữa năng lực công nghệ và mức độ chấp nhận số không chỉ là vấn đề tinh chỉnh đo lường mà có hệ quả lý thuyết trực tiếp. Khi hai cấu trúc có chiều sâu tổ chức khác nhau bị gộp thành một chỉ số tổng hợp duy nhất, hai cơ chế tác động có thể trái chiều sẽ bị trung bình hóa, làm che khuất chính cơ chế mà nhà quản trị và nhà hoạch định chính sách cần phân biệt khi quyết định đầu tư vào chiều sâu năng lực hay vào công cụ giao diện.</w:t>
      </w:r>
    </w:p>
    <w:p>
      <w:pPr>
        <w:pStyle w:val="BodyText"/>
      </w:pPr>
      <w:r>
        <w:t xml:space="preserve">Về khoảng trống thứ ba, sự thiếu đại diện của các nền kinh tế chuyển đổi và các nền kinh tế đảo nhỏ đang phát triển không chỉ thu hẹp phạm vi mẫu mà còn làm suy yếu khả năng kiểm định điều kiện biên của lý thuyết. Các nỗ lực tái lặp quy mô lớn với chiến lược nhận diện chặt chẽ cho thấy dạng hàm chữ U ngược suy yếu đáng kể, thậm chí biến mất, trong các mẫu gộp xuyên quốc gia (Berry &amp; Kaul, 2016; Pisani et al., 2020), củng cố lập luận rằng chính dị biệt bối cảnh, chứ không phải một quy luật phổ quát, mới chi phối kết quả quốc tế hóa và hiệu quả. Đúng các địa điểm cực trị về thể chế, nơi điều kiện biên dễ bộc lộ nhất, lại là nơi văn liệu thiếu vắng bằng chứng nhất.</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33"/>
    <w:bookmarkStart w:id="34"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1982–2026, xác định tác động tổng hợp, mức độ dị biệt và các nhân tố điều tiết (các biến điều tiết) chính giải thích dị biệt trong văn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4"/>
    <w:bookmarkStart w:id="35"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văn liệu 1982–2026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năng lực công nghệ index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35"/>
    <w:bookmarkStart w:id="40" w:name="đối-tượng-và-phạm-vi-nghiên-cứu"/>
    <w:p>
      <w:pPr>
        <w:pStyle w:val="Heading2"/>
      </w:pPr>
      <w:r>
        <w:t xml:space="preserve">1.5 Đối tượng và phạm vi nghiên cứu</w:t>
      </w:r>
    </w:p>
    <w:bookmarkStart w:id="36"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6"/>
    <w:bookmarkStart w:id="37"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50 nền kinh tế châu Á và Thái Bình Dương</w:t>
      </w:r>
      <w:r>
        <w:t xml:space="preserve"> </w:t>
      </w:r>
      <w:r>
        <w:t xml:space="preserve">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tài nguyên-Driven,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7"/>
    <w:bookmarkStart w:id="38" w:name="phạm-vi-thời-gian"/>
    <w:p>
      <w:pPr>
        <w:pStyle w:val="Heading3"/>
      </w:pPr>
      <w:r>
        <w:t xml:space="preserve">1.5.3 Phạm vi thời gian</w:t>
      </w:r>
    </w:p>
    <w:p>
      <w:pPr>
        <w:pStyle w:val="FirstParagraph"/>
      </w:pPr>
      <w:r>
        <w:t xml:space="preserve">Phạm vi thời gian của nghiên cứu có hai mức. Đối với phase phân tích tổng hợp, luận án tổng hợp văn liệu trong giai đoạn 1982–2026, bao quát toàn bộ chương trình nghiên cứu về quan hệ quốc tế hóa và hiệu quả từ khi các nghiên cứu thực nghiệm đầu tiên xuất hiện đến thời điểm hoàn thành luận án. Đối với phase phân tích thực nghiệm đa quốc gia, luận án sử dụng dữ liệu WBES trong giai đoạn 2003–2025, bao gồm 88.869 doanh nghiệp với 103 cặp nền kinh tế-năm. Dữ liệu WBES từ ba thế hệ schema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38"/>
    <w:bookmarkStart w:id="39"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9"/>
    <w:bookmarkEnd w:id="40"/>
    <w:bookmarkStart w:id="41"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văn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41"/>
    <w:bookmarkStart w:id="42"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năng lực công nghệ index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foundational chấp nhận số,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gradient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quan hệ quốc tế hóa và hiệu quả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2"/>
    <w:bookmarkStart w:id="46" w:name="ý-nghĩa-khoa-học-và-thực-tiễn"/>
    <w:p>
      <w:pPr>
        <w:pStyle w:val="Heading2"/>
      </w:pPr>
      <w:r>
        <w:t xml:space="preserve">1.8 Ý nghĩa khoa học và thực tiễn</w:t>
      </w:r>
    </w:p>
    <w:bookmarkStart w:id="43" w:name="đóng-góp-lý-thuyết"/>
    <w:p>
      <w:pPr>
        <w:pStyle w:val="Heading3"/>
      </w:pPr>
      <w:r>
        <w:t xml:space="preserve">1.8.1 Đóng góp lý thuyết</w:t>
      </w:r>
    </w:p>
    <w:p>
      <w:pPr>
        <w:pStyle w:val="FirstParagraph"/>
      </w:pPr>
      <w:r>
        <w:t xml:space="preserve">Về mặt lý thuyết, luận án đóng góp vào văn liệu kinh doanh quốc tế theo ba hướng chính. Hướng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Hướng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văn liệu về số hóa và quốc tế hóa. Hướng thứ ba là tái định vị mô hình Uppsala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quốc tế hóa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cấu trúc lý thuyết mới chưa được định danh trong văn liệu kinh doanh quốc tế, như điều kiện biên cực đoan của mô hình chữ U ngược khi cả ba tầng của khung CDCM (thể chế, năng lực, quản trị) đồng thời ở mức tối thiểu. Bằng chứng thực nghiệm từ bảy nền kinh tế đảo nhỏ Thái Bình Dương xác nhận quan hệ âm đơn điệu không có điểm uốn, mở ra hướng nghiên cứu mới về điều kiện biên của lý thuyết quốc tế hóa.</w:t>
      </w:r>
    </w:p>
    <w:p>
      <w:pPr>
        <w:pStyle w:val="BodyText"/>
      </w:pPr>
      <w:r>
        <w:t xml:space="preserve">Bốn hướng đóng góp lý thuyết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gradient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43"/>
    <w:bookmarkStart w:id="44"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văn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moderating effect của thể chế trong văn liệu kinh doanh quốc tế.</w:t>
      </w:r>
    </w:p>
    <w:bookmarkEnd w:id="44"/>
    <w:bookmarkStart w:id="45"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gradient,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gradient.</w:t>
      </w:r>
    </w:p>
    <w:bookmarkEnd w:id="45"/>
    <w:bookmarkEnd w:id="46"/>
    <w:bookmarkStart w:id="47"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boundary case cực đoan, đây là lần đầu tiên một hệ thống phân loại đủ mịn như vậy được áp dụng trong nghiên cứu thực nghiệm về quan hệ quốc tế hóa và hiệu quả tại châu Á. Điểm mới thứ tư là mẫu gộp dữ liệu lớn nhất từ trước đến nay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temporal stability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FIP)</w:t>
      </w:r>
      <w:r>
        <w:t xml:space="preserve"> </w:t>
      </w:r>
      <w:r>
        <w:t xml:space="preserve">tại bảy nền kinh tế đảo nhỏ Thái Bình Dương, lần đầu tiên trong văn liệu kinh doanh quốc tế, một trường hợp quan hệ quốc tế hóa và hiệu quả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văn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gradient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47"/>
    <w:bookmarkStart w:id="48"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1982–2026,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Roadmap bảy nghiên cứu thành phần (P3–P9):</w:t>
      </w:r>
      <w:r>
        <w:t xml:space="preserve"> </w:t>
      </w:r>
      <w:r>
        <w:t xml:space="preserve">Luận án tích hợp bảy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yếu tố nâng mặt bằng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Tầng 1 và 2 khuếch đại đường cong quốc tế hóa và hiệu quả.</w:t>
      </w:r>
      <w:r>
        <w:t xml:space="preserve"> </w:t>
      </w:r>
      <w:r>
        <w:rPr>
          <w:bCs/>
          <w:b/>
        </w:rPr>
        <w:t xml:space="preserve">P5</w:t>
      </w:r>
      <w:r>
        <w:t xml:space="preserve"> </w:t>
      </w:r>
      <w:r>
        <w:t xml:space="preserve">(Trung Quốc, IJOEM, đang phản biện): kiểm định temporal stability,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gradient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xác nhận H1b tại bảy nền kinh tế đảo nhỏ Thái Bình Dương.</w:t>
      </w:r>
      <w:r>
        <w:t xml:space="preserve"> </w:t>
      </w:r>
      <w:r>
        <w:rPr>
          <w:bCs/>
          <w:b/>
        </w:rPr>
        <w:t xml:space="preserve">P9</w:t>
      </w:r>
      <w:r>
        <w:t xml:space="preserve"> </w:t>
      </w:r>
      <w:r>
        <w:t xml:space="preserve">(Ấn Độ, MIR/IJOEM, đang bình duyệt): độ bền ngưỡng quốc tế hóa và hiệu quả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Tầng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gradient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năng lực công nghệ index; DAI là chỉ số chấp nhận số (digital adoption index), được hiểu như biến đại diện foundational chấp nhận số; ICRV là khung phân loại thể chế 6 nhóm được phát triển cho luận án này; WBES là World Bank Enterprise Surveys.</w:t>
      </w:r>
    </w:p>
    <w:p>
      <w:r>
        <w:br w:type="page"/>
      </w:r>
    </w:p>
    <w:bookmarkEnd w:id="48"/>
    <w:bookmarkStart w:id="82"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văn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3" w:name="các-khái-niệm-cốt-lõi"/>
    <w:p>
      <w:pPr>
        <w:pStyle w:val="Heading2"/>
      </w:pPr>
      <w:r>
        <w:t xml:space="preserve">2.1 Các khái niệm cốt lõi</w:t>
      </w:r>
    </w:p>
    <w:bookmarkStart w:id="49"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văn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49"/>
    <w:bookmarkStart w:id="50"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văn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50"/>
    <w:bookmarkStart w:id="51"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1"/>
    <w:bookmarkStart w:id="52"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52"/>
    <w:bookmarkEnd w:id="53"/>
    <w:bookmarkStart w:id="60" w:name="các-lý-thuyết-nền"/>
    <w:p>
      <w:pPr>
        <w:pStyle w:val="Heading2"/>
      </w:pPr>
      <w:r>
        <w:t xml:space="preserve">2.2 Các lý thuyết nền</w:t>
      </w:r>
    </w:p>
    <w:bookmarkStart w:id="54"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54"/>
    <w:bookmarkStart w:id="55"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Tầng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55"/>
    <w:bookmarkStart w:id="56"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văn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gradient thể chế đa chiều, neo đậu trong lý thuyết thể chế đương đại.</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bookmarkEnd w:id="57"/>
    <w:bookmarkStart w:id="58"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w:t>
      </w:r>
    </w:p>
    <w:p>
      <w:pPr>
        <w:pStyle w:val="BodyText"/>
      </w:pPr>
      <w:r>
        <w:t xml:space="preserve">Sự phân biệt giữa hai cấu trúc số có nền tảng đo lường vững chắc trong văn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58"/>
    <w:bookmarkStart w:id="59"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văn liệu thường khung hóa các lý thuyết này như những giải thích đối kháng, ví dụ tranh luận giữa giải thích dựa trên năng lực và giải thích dựa trên thể chế cho hiệu quả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Tổng hợp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59"/>
    <w:bookmarkEnd w:id="60"/>
    <w:bookmarkStart w:id="66" w:name="tổng-quan-thực-nghiệm"/>
    <w:p>
      <w:pPr>
        <w:pStyle w:val="Heading2"/>
      </w:pPr>
      <w:r>
        <w:t xml:space="preserve">2.3 Tổng quan thực nghiệm</w:t>
      </w:r>
    </w:p>
    <w:bookmarkStart w:id="61" w:name="Xd04c331b5c441dacecc096cebea0277e23e9c7c"/>
    <w:p>
      <w:pPr>
        <w:pStyle w:val="Heading3"/>
      </w:pPr>
      <w:r>
        <w:t xml:space="preserve">2.3.1 Giai đoạn phát triển của văn liệu về quan hệ quốc tế hóa và hiệu quả</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văn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văn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đặc tả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văn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Đáng chú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Tổng hợp lại, sự phân tán về dạng hàm và về chiều nhân quả trong văn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61"/>
    <w:bookmarkStart w:id="62"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các phân tích tổng hợp về quan hệ quốc tế hóa và hiệu quả, cho phép tổng hợp và định lượng hóa kết quả từ hàng trăm nghiên cứu thực nghiệm riêng lẻ. Tổng hợp từ các các phân tích tổng hợp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mẫu gộp lên 154 mẫu và tìm thấy tác động tổng hợp tương tự, đồng thời xác nhận vai trò của bối cảnh quốc gia và ngành. Marano et al. (2016), nghiên cứu phân tích tổng hợp toàn diện nhất trong văn liệu với 170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châu Á và Thái Bình Dương, ước lượng r̄ = 0,074 [KTC 95%: 0,060; 0,088], I² = 62,4%, Q_M(ICRV) = 17,35 (df = 4, p = ,002). Kết quả này xác nhận tác động tổng hợp dương nhỏ nhưng bền vững, đồng thời chứng minh rằng gradient ICRV, điểm uốn giảm dần khi chuyển từ thể chế yếu sang thể chế mạnh, là biến điều tiết thực chất của mối quan hệ quốc tế hóa và hiệu quả trong bối cảnh châu Á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Tổng hợp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văn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Nguyen và Kim (2020), trong một lược khảo và mở rộng văn liệu về quan hệ đa quốc gia và hiệu quả, nhấn mạnh rằng những kết luận trái ngược trong văn liệu phần lớn bắt nguồn từ khác biệt trong thước đo, mẫu và đặc tả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62"/>
    <w:bookmarkStart w:id="6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văn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văn liệu.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quốc tế hóa và hiệu quả.</w:t>
      </w:r>
    </w:p>
    <w:p>
      <w:pPr>
        <w:pStyle w:val="BodyText"/>
      </w:pPr>
      <w:r>
        <w:t xml:space="preserve">Văn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gradient thể chế và cùng một khung đo lường mới có thể phân tách được phần dị biệt do bối cảnh thể chế tạo ra khỏi phần do đặc trưng doanh nghiệp.</w:t>
      </w:r>
    </w:p>
    <w:bookmarkEnd w:id="63"/>
    <w:bookmarkStart w:id="64"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văn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bức tranh rộng hơn về các ràng buộc thực chất mà doanh nghiệp ở các nền kinh tế đang phát triển đối mặt khi quốc tế hóa, vì chính những ràng buộc này tạo ra dư địa để công cụ số phát huy hoặc không phát huy tác dụng. Văn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gradient thể chế.</w:t>
      </w:r>
    </w:p>
    <w:bookmarkEnd w:id="64"/>
    <w:bookmarkStart w:id="6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institutional-voids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5"/>
    <w:bookmarkEnd w:id="66"/>
    <w:bookmarkStart w:id="6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nhất quán cho thấy</w:t>
      </w:r>
      <w:r>
        <w:t xml:space="preserve"> </w:t>
      </w:r>
      <m:oMath>
        <m:sSup>
          <m:e>
            <m:r>
              <m:t>I</m:t>
            </m:r>
          </m:e>
          <m:sup>
            <m:r>
              <m:t>2</m:t>
            </m:r>
          </m:sup>
        </m:sSup>
        <m:r>
          <m:rPr>
            <m:sty m:val="p"/>
          </m:rPr>
          <m:t>&gt;</m:t>
        </m:r>
        <m:r>
          <m:t>80</m:t>
        </m:r>
        <m:r>
          <m:rPr>
            <m:sty m:val="p"/>
          </m:rPr>
          <m:t>%</m:t>
        </m:r>
      </m:oMath>
      <w:r>
        <w:t xml:space="preserve">, tức hơn 80% biến thiên trong cỡ ảnh hưởng không được giải thích bởi sai số ngẫu nhiên mà bởi sự khác biệt có hệ thống giữa các bối cảnh (Bausch &amp; Krist, 2007; Marano et al., 2016).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văn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văn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văn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gradient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gradient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gradient ICRV hay không. Văn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gradient ICRV từ nhóm tiên tiến đến nhóm đảo nhỏ, kiểm định đồng thời H1 đến H6 với hiệu ứng cố định nền kinh tế và năm. Điểm uốn hiệu chỉnh năng lực của P7 là 43,6% FSTS, nằm trong vùng chuyển đổi của gradient thể chế, nhất quán với P3 Việt Nam (khoảng 40%) và thấp hơn P5 Trung Quốc (khoảng 49%); cấu trúc ba vùng theo nhóm ICRV xác nhận thể chế điều tiết cả vị trí lẫn sự tồn tại của điểm uốn theo gradient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văn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67"/>
    <w:bookmarkStart w:id="80" w:name="mô-hình-nghiên-cứu-và-hệ-giả-thuyết"/>
    <w:p>
      <w:pPr>
        <w:pStyle w:val="Heading2"/>
      </w:pPr>
      <w:r>
        <w:t xml:space="preserve">2.5 Mô hình nghiên cứu và hệ giả thuyết</w:t>
      </w:r>
    </w:p>
    <w:bookmarkStart w:id="7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chế độ con theo gradient từ tiên tiến đổi mới đến SIDS. Ở tầng này, ICRV điều tiết mối quan hệ quốc tế hóa và hiệu quả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3558086"/>
            <wp:effectExtent b="0" l="0" r="0" t="0"/>
            <wp:docPr descr="Hình 2.1. Khung khái niệm tích hợp đa tầng CDCM cho quan hệ Quốc tế hóa–Hiệu quả tại châu Á" title="" id="69" name="Picture"/>
            <a:graphic>
              <a:graphicData uri="http://schemas.openxmlformats.org/drawingml/2006/picture">
                <pic:pic>
                  <pic:nvPicPr>
                    <pic:cNvPr descr="figures/fig_2_1_cdcm_conceptual_model.png" id="70" name="Picture"/>
                    <pic:cNvPicPr>
                      <a:picLocks noChangeArrowheads="1" noChangeAspect="1"/>
                    </pic:cNvPicPr>
                  </pic:nvPicPr>
                  <pic:blipFill>
                    <a:blip r:embed="rId68"/>
                    <a:stretch>
                      <a:fillRect/>
                    </a:stretch>
                  </pic:blipFill>
                  <pic:spPr bwMode="auto">
                    <a:xfrm>
                      <a:off x="0" y="0"/>
                      <a:ext cx="5753100" cy="3558086"/>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Uppsala, RBV, lý thuyết thể chế, lý thuyết thượng tầng quản trị và digital capability lens.</w:t>
      </w:r>
    </w:p>
    <w:bookmarkEnd w:id="71"/>
    <w:bookmarkStart w:id="7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72"/>
    <w:bookmarkStart w:id="7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Lall (2004) về các ràng buộc cấu trúc của các nền kinh tế đảo nhỏ.</w:t>
      </w:r>
    </w:p>
    <w:bookmarkEnd w:id="73"/>
    <w:bookmarkStart w:id="74"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w:t>
      </w:r>
    </w:p>
    <w:bookmarkEnd w:id="74"/>
    <w:bookmarkStart w:id="75"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75"/>
    <w:bookmarkStart w:id="76"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đặc tả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76"/>
    <w:bookmarkStart w:id="77"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gradient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gradient có hướng: vai trò điều tiết của thể chế, và của lá chắn số gắn với nó, mạnh nhất ở biên dưới của gradient ICRV và yếu dần khi tiến lên biên trên. Đây chính là dự đoán định hướng mà luận án kiểm định bằng cả phân tích tổng hợp theo nhóm thể chế và ước lượng điểm uốn trong từng chế độ ICRV ở Chương 4.</w:t>
      </w:r>
    </w:p>
    <w:bookmarkEnd w:id="77"/>
    <w:bookmarkStart w:id="78"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tan rã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tan rã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p>
      <w:r>
        <w:pict>
          <v:rect style="width:0;height:1.5pt" o:hralign="center" o:hrstd="t" o:hr="t"/>
        </w:pict>
      </w:r>
    </w:p>
    <w:bookmarkEnd w:id="78"/>
    <w:bookmarkStart w:id="79" w:name="Xf335a697a9ee7a16b4b110396196a58c357e907"/>
    <w:p>
      <w:pPr>
        <w:pStyle w:val="Heading3"/>
      </w:pPr>
      <w:r>
        <w:t xml:space="preserve">2.5.8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2.1 ánh xạ các nghiên cứu thành phần với mục trình bày kết quả và các giả thuyết tương ứng.</w:t>
      </w:r>
    </w:p>
    <w:p>
      <w:pPr>
        <w:pStyle w:val="BodyText"/>
      </w:pPr>
      <w:r>
        <w:rPr>
          <w:bCs/>
          <w:b/>
        </w:rPr>
        <w:t xml:space="preserve">Bảng 2.1.</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văn liệu châu Á</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gradient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gradient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79"/>
    <w:bookmarkEnd w:id="80"/>
    <w:bookmarkStart w:id="81"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văn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w:t>
      </w:r>
      <w:r>
        <w:t xml:space="preserve"> </w:t>
      </w:r>
      <m:oMath>
        <m:sSup>
          <m:e>
            <m:r>
              <m:t>I</m:t>
            </m:r>
          </m:e>
          <m:sup>
            <m:r>
              <m:t>2</m:t>
            </m:r>
          </m:sup>
        </m:sSup>
        <m:r>
          <m:rPr>
            <m:sty m:val="p"/>
          </m:rPr>
          <m:t>&gt;</m:t>
        </m:r>
        <m:r>
          <m:t>80</m:t>
        </m:r>
        <m:r>
          <m:rPr>
            <m:sty m:val="p"/>
          </m:rPr>
          <m:t>%</m:t>
        </m:r>
      </m:oMath>
      <w:r>
        <w:t xml:space="preserve">, đòi hỏi cách tiếp cận lấy biến điều tiết làm trung tâm; và bối cảnh châu Á, đặc biệt là các nền kinh tế biên thể chế yếu và các nền đảo nhỏ, đang thiếu đại diện nghiêm trọng trong văn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2.1 trình bày, để bảo đảm rằng khung lý thuyết được kiểm định trên toàn bộ gradient thể chế của khu vực chứ không chỉ ở một bối cảnh đơn lẻ. Chương 3 sẽ trình bày thiết kế phương pháp và chiến lược kiểm định hệ giả thuyết này.</w:t>
      </w:r>
    </w:p>
    <w:p>
      <w:r>
        <w:br w:type="page"/>
      </w:r>
    </w:p>
    <w:bookmarkEnd w:id="81"/>
    <w:bookmarkEnd w:id="82"/>
    <w:bookmarkStart w:id="83" w:name="chương-3-phương-pháp-nghiên-cứu"/>
    <w:p>
      <w:pPr>
        <w:pStyle w:val="Heading1"/>
      </w:pPr>
      <w:r>
        <w:t xml:space="preserve">CHƯƠNG 3: PHƯƠNG PHÁP NGHIÊN CỨU</w:t>
      </w:r>
    </w:p>
    <w:bookmarkEnd w:id="83"/>
    <w:p>
      <w:r>
        <w:pict>
          <v:rect style="width:0;height:1.5pt" o:hralign="center" o:hrstd="t" o:hr="t"/>
        </w:pict>
      </w:r>
    </w:p>
    <w:bookmarkStart w:id="86" w:name="thiết-kế-nghiên-cứu-tổng-thể"/>
    <w:p>
      <w:pPr>
        <w:pStyle w:val="Heading2"/>
      </w:pPr>
      <w:r>
        <w:t xml:space="preserve">3.1 Thiết kế nghiên cứu tổng thể</w:t>
      </w:r>
    </w:p>
    <w:bookmarkStart w:id="84" w:name="loại-thiết-kế"/>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phân tích tổng hợp tổng hợp văn liệu để trả lời RQ1, còn phase thứ hai là phân tích thực nghiệm doanh nghiệp đa quốc gia để trả lời RQ2–RQ4. Hai phase đối thoại hai chiều: meta cung cấp cơ sở và gợi ý biến điều tiết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quốc tế hóa–hiệu quả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phase. Quy mô 50 nền kinh tế/88.869 doanh nghiệp là phạm vi địa lý lớn nhất từng có cho khu vực, mở rộng từ mẫu gộp 17 nước trong nghiên cứu thành phần P1.</w:t>
      </w:r>
    </w:p>
    <w:bookmarkEnd w:id="84"/>
    <w:bookmarkStart w:id="85"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1982–2026; (iv) thu thập và chuẩn hóa dữ liệu WBES cho</w:t>
      </w:r>
      <w:r>
        <w:t xml:space="preserve"> </w:t>
      </w:r>
      <w:r>
        <w:rPr>
          <w:bCs/>
          <w:b/>
        </w:rPr>
        <w:t xml:space="preserve">50 nền kinh tế châu Á và Thái Bình Dương</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85"/>
    <w:bookmarkEnd w:id="86"/>
    <w:bookmarkStart w:id="90" w:name="giai-đoạn-1-phân-tích-tổng-hợp-19822026"/>
    <w:p>
      <w:pPr>
        <w:pStyle w:val="Heading2"/>
      </w:pPr>
      <w:r>
        <w:t xml:space="preserve">3.2 Giai đoạn 1: Phân tích tổng hợp 1982–2026</w:t>
      </w:r>
    </w:p>
    <w:bookmarkStart w:id="87"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inclusion criteria theo PRISMA (Page et al., 2021), chuyển dạng hiệu ứng bằng Fisher’s</w:t>
      </w:r>
      <w:r>
        <w:t xml:space="preserve"> </w:t>
      </w:r>
      <m:oMath>
        <m:r>
          <m:t>z</m:t>
        </m:r>
      </m:oMath>
      <w:r>
        <w:t xml:space="preserve">, tính hiệu ứng gộp size theo random-effects,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87"/>
    <w:bookmarkStart w:id="88" w:name="đóng-góp-mớiđiều-chỉnh"/>
    <w:p>
      <w:pPr>
        <w:pStyle w:val="Heading3"/>
      </w:pPr>
      <w:r>
        <w:t xml:space="preserve">3.2.2 Đóng góp mới/điều chỉnh</w:t>
      </w:r>
    </w:p>
    <w:p>
      <w:pPr>
        <w:numPr>
          <w:ilvl w:val="0"/>
          <w:numId w:val="1004"/>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doanh nghiệp đa quốc gia thị trường mới nổi.</w:t>
      </w:r>
    </w:p>
    <w:p>
      <w:pPr>
        <w:numPr>
          <w:ilvl w:val="0"/>
          <w:numId w:val="1004"/>
        </w:numPr>
        <w:pStyle w:val="Compact"/>
      </w:pPr>
      <w:r>
        <w:rPr>
          <w:bCs/>
          <w:b/>
        </w:rPr>
        <w:t xml:space="preserve">Mở rộng biến điều tiết coverage</w:t>
      </w:r>
      <w:r>
        <w:t xml:space="preserve">: thêm cụm biến điều tiết về digital capability và 6 chế độ con ICRV, chưa được xem xét đầy đủ trong các các phân tích tổng hợp trước.</w:t>
      </w:r>
    </w:p>
    <w:p>
      <w:pPr>
        <w:numPr>
          <w:ilvl w:val="0"/>
          <w:numId w:val="1004"/>
        </w:numPr>
        <w:pStyle w:val="Compact"/>
      </w:pPr>
      <w:r>
        <w:rPr>
          <w:bCs/>
          <w:b/>
        </w:rPr>
        <w:t xml:space="preserve">Tập tổng hợp</w:t>
      </w:r>
      <w:r>
        <w:t xml:space="preserve">: K=288 effect sizes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4"/>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88"/>
    <w:bookmarkStart w:id="89" w:name="quy-trình-prisma"/>
    <w:p>
      <w:pPr>
        <w:pStyle w:val="Heading3"/>
      </w:pPr>
      <w:r>
        <w:t xml:space="preserve">3.2.3 Quy trình PRISMA</w:t>
      </w:r>
    </w:p>
    <w:p>
      <w:pPr>
        <w:pStyle w:val="FirstParagraph"/>
      </w:pPr>
      <w:r>
        <w:t xml:space="preserve">Identification, Screening, Eligibility, Inclusion theo hướng dẫn PRISMA 2020 (Page et al., 2021). Inclusion criteria: nghiên cứu thực nghiệm ở cấp doanh nghiệp, có đo lường quốc tế hóa và hiệu quả doanh nghiệp,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89"/>
    <w:bookmarkEnd w:id="90"/>
    <w:bookmarkStart w:id="106" w:name="X2f2dc61cf51b22160123af8668c978f8ce43175"/>
    <w:p>
      <w:pPr>
        <w:pStyle w:val="Heading2"/>
      </w:pPr>
      <w:r>
        <w:t xml:space="preserve">3.3 Giai đoạn 2: Phân tích thực nghiệm đa quốc gia</w:t>
      </w:r>
    </w:p>
    <w:bookmarkStart w:id="91"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2003–2025</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outcomes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văn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văn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1"/>
    <w:bookmarkStart w:id="92"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module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đặc tả để bảo đảm kết quả không bị chi phối bởi cơ chế khuyết. Toàn bộ thao tác chi tiết của quy trình sáu bước, cùng dòng dữ liệu kiểu PRISMA và mã tái lập, được trình bày đầy đủ ở Phụ lục A.</w:t>
      </w:r>
    </w:p>
    <w:bookmarkEnd w:id="92"/>
    <w:bookmarkStart w:id="93"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năng suất lao động được sử dụng rộng rãi trong nghiên cứu WBES và trong văn liệu về firm productivity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financial statement đầy đủ, nên năng suất lao động phù hợp hơn ROA/ROE/ROS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văn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hiệu quả doanh nghiệp là khái niệm đa chiều và việc lựa chọn thước đo phải phù hợp với bối cảnh dữ liệu (xem Chương 2).</w:t>
      </w:r>
    </w:p>
    <w:bookmarkEnd w:id="93"/>
    <w:bookmarkStart w:id="94"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94"/>
    <w:bookmarkStart w:id="95"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cường độ xuất khẩu (FSTS, tỷ lệ doanh thu xuất khẩu trên tổng doanh thu). Mô hình đưa vào đồng thời</w:t>
      </w:r>
      <w:r>
        <w:t xml:space="preserve"> </w:t>
      </w:r>
      <m:oMath>
        <m:r>
          <m:t>F</m:t>
        </m:r>
        <m:r>
          <m:t>S</m:t>
        </m:r>
        <m:r>
          <m:t>T</m:t>
        </m:r>
        <m:r>
          <m:t>S</m:t>
        </m:r>
      </m:oMath>
      <w:r>
        <w:t xml:space="preserve"> </w:t>
      </w:r>
      <w:r>
        <w:t xml:space="preserve">và</w:t>
      </w:r>
      <w:r>
        <w:t xml:space="preserve"> </w:t>
      </w:r>
      <m:oMath>
        <m:r>
          <m:t>F</m:t>
        </m:r>
        <m:r>
          <m:t>S</m:t>
        </m:r>
        <m:r>
          <m:t>T</m:t>
        </m:r>
        <m:sSup>
          <m:e>
            <m: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 FSTS là thước đo quốc tế hóa phổ biến nhất trong văn liệu về quan hệ quốc tế hóa và hiệu quả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 FSTS, làm cơ sở cho việc kiểm định mở rộng trong luận án.</w:t>
      </w:r>
    </w:p>
    <w:bookmarkEnd w:id="95"/>
    <w:bookmarkStart w:id="96"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96"/>
    <w:bookmarkStart w:id="97"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t>F</m:t>
        </m:r>
        <m:r>
          <m:t>S</m:t>
        </m:r>
        <m:r>
          <m:t>T</m:t>
        </m:r>
        <m: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t>T</m:t>
        </m:r>
        <m: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t>F</m:t>
            </m:r>
            <m:r>
              <m:t>S</m:t>
            </m:r>
            <m:r>
              <m:t>T</m:t>
            </m:r>
            <m:r>
              <m:t>S</m:t>
            </m:r>
          </m:e>
        </m:bar>
      </m:oMath>
      <w:r>
        <w:t xml:space="preserve">.</w:t>
      </w:r>
    </w:p>
    <w:bookmarkEnd w:id="97"/>
    <w:bookmarkStart w:id="101" w:name="đo-lường-biến-điều-tiết"/>
    <w:p>
      <w:pPr>
        <w:pStyle w:val="Heading3"/>
      </w:pPr>
      <w:r>
        <w:t xml:space="preserve">3.3.4 Đo lường biến điều tiết</w:t>
      </w:r>
    </w:p>
    <w:bookmarkStart w:id="98" w:name="digital-constructs-tci-và-dai"/>
    <w:p>
      <w:pPr>
        <w:pStyle w:val="Heading4"/>
      </w:pPr>
      <w:r>
        <w:t xml:space="preserve">Digital constructs (TCI và DAI)</w:t>
      </w:r>
    </w:p>
    <w:p>
      <w:pPr>
        <w:pStyle w:val="FirstParagraph"/>
      </w:pPr>
      <w:r>
        <w:t xml:space="preserve">Luận án phân biệt rõ hai cấu trúc:</w:t>
      </w:r>
    </w:p>
    <w:p>
      <w:pPr>
        <w:numPr>
          <w:ilvl w:val="0"/>
          <w:numId w:val="1005"/>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5"/>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cấu trúc purity. Đặc biệt, foreign technology licensing thuộc TCI chứ không được đồng thời tính vào DAI.</w:t>
      </w:r>
    </w:p>
    <w:p>
      <w:pPr>
        <w:pStyle w:val="BodyText"/>
      </w:pPr>
      <w:r>
        <w:rPr>
          <w:bCs/>
          <w:b/>
        </w:rPr>
        <w:t xml:space="preserve">Biến thể đo lường (thin/full).</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formative:</w:t>
      </w:r>
    </w:p>
    <w:p>
      <w:pPr>
        <w:numPr>
          <w:ilvl w:val="0"/>
          <w:numId w:val="1006"/>
        </w:numPr>
        <w:pStyle w:val="Compact"/>
      </w:pPr>
      <w:r>
        <w:rPr>
          <w:bCs/>
          <w:b/>
        </w:rPr>
        <w:t xml:space="preserve">TCI_thin</w:t>
      </w:r>
      <w:r>
        <w:t xml:space="preserve"> </w:t>
      </w:r>
      <w:r>
        <w:t xml:space="preserve">= chuẩn hóa z của trung bình hai mục cốt lõi: chứng chỉ chất lượng quốc tế (b8) và cấp phép công nghệ nước ngoài (e6). Dùng trong các nghiên cứu Việt Nam (P3), Singapore (P4), đa quốc gia (P7) và đảo nhỏ Thái Bình Dương (P8).</w:t>
      </w:r>
    </w:p>
    <w:p>
      <w:pPr>
        <w:numPr>
          <w:ilvl w:val="0"/>
          <w:numId w:val="1006"/>
        </w:numPr>
        <w:pStyle w:val="Compact"/>
      </w:pPr>
      <w:r>
        <w:rPr>
          <w:bCs/>
          <w:b/>
        </w:rPr>
        <w:t xml:space="preserve">TCI_full</w:t>
      </w:r>
      <w:r>
        <w:t xml:space="preserve"> </w:t>
      </w:r>
      <w:r>
        <w:t xml:space="preserve">= chuẩn hóa z của trung bình bốn mục: b8, e6, đổi mới sản phẩm (h1), và chi R&amp;D (h8). Dùng trong nghiên cứu Trung Quốc (P5), nơi cả hai sóng 2012 và 2024 đều có đủ module đổi mới.</w:t>
      </w:r>
    </w:p>
    <w:p>
      <w:pPr>
        <w:pStyle w:val="FirstParagraph"/>
      </w:pPr>
      <w:r>
        <w:t xml:space="preserve">Bộ mục chính xác của mỗi nghiên cứu thành phần được nêu lại trong bảng định nghĩa biến của nghiên cứu đó (Mục 3.4.5) và Phụ lục A; khác biệt giữa thin và full phản ánh ràng buộc khả dụng dữ liệu khách quan, không phải lựa chọn tùy ý. Vì các mục là chỉ báo nhị phân của cùng một cấu trúc formative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(pipeline raw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thin nêu trên.</w:t>
      </w:r>
    </w:p>
    <w:p>
      <w:pPr>
        <w:pStyle w:val="BodyText"/>
      </w:pPr>
      <w:r>
        <w:rPr>
          <w:bCs/>
          <w:b/>
        </w:rPr>
        <w:t xml:space="preserve">Cơ sở kế thừa</w:t>
      </w:r>
      <w:r>
        <w:t xml:space="preserve">: Bhandari et al. (2023) phân biệt digitalization, quốc tế hóa và capability theo resource-orchestration logic; Verhoef et al. (2021) phân biệt three stages (digitization, digitalization, digital transformation). Pattern</w:t>
      </w:r>
      <w:r>
        <w:t xml:space="preserve"> </w:t>
      </w:r>
      <w:r>
        <w:t xml:space="preserve">“</w:t>
      </w:r>
      <w:r>
        <w:t xml:space="preserve">lá chắn số effect</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cấu trúc purity ở 50 nền kinh tế châu Á và Thái Bình Dương, với pipeline hòa hợp 3 thế hệ schema. Phân tách TCI và DAI theo (i) Bharadwaj et al. (2013), IT capability vs digital business strategy có mạng quan hệ lý thuyết khác nhau; (ii) phân tầng 3 cấp của Verhoef et al. (2021),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quan hệ quốc tế hóa và hiệu quả; và (v) 4 tiêu chí formative chỉ số hợp thành của Coltman et al. (2008), đảm bảo TCI và DAI là hai chỉ số hợp thành độc lập.</w:t>
      </w:r>
    </w:p>
    <w:bookmarkEnd w:id="98"/>
    <w:bookmarkStart w:id="99"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chế độ con ICRV (classification từ Khanna &amp; Palepu, 2010 mở rộng).</w:t>
      </w:r>
    </w:p>
    <w:p>
      <w:pPr>
        <w:pStyle w:val="BodyText"/>
      </w:pPr>
      <w:r>
        <w:rPr>
          <w:bCs/>
          <w:b/>
        </w:rPr>
        <w:t xml:space="preserve">Cơ sở kế thừa</w:t>
      </w:r>
      <w:r>
        <w:t xml:space="preserve">: Khanna và Palepu (2010) với khoảng trống thể chế; North (1990) với institutional analysis; Marano et al. (2016) với phân tích tổng hợp evidence về institutional các biến điều tiết.</w:t>
      </w:r>
    </w:p>
    <w:bookmarkEnd w:id="99"/>
    <w:bookmarkStart w:id="100"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100"/>
    <w:bookmarkEnd w:id="101"/>
    <w:bookmarkStart w:id="102"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Tầng 1 ghi nhận hiện diện số bề mặt qua chỉ báo website (trường c22b), một mục nhị phân khả dụng ở hầu hết các đợt khảo sát. Tầng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Tầng 1 (đơn biến nhị phân) dùng ở Việt Nam và đảo nhỏ Thái Bình Dương, biến thể Tầng 1 cộng Tầng 2 dùng ở Singapore và khung đa quốc gia khi trường k33 có mặt, và biến thể thu gọn về Tầng 1 khi trường Tầng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102"/>
    <w:bookmarkStart w:id="103"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module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Tầng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Tầng 2 thanh toán điện tử và Tầng 3 đám mây/hệ hoạch định nguồn lực doanh nghiệp. Khung đa quốc gia dùng biến thể Tầng 1 cộng Tầng 2 khi trường thanh toán điện tử có mặt và thu gọn về Tầng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103"/>
    <w:bookmarkStart w:id="104"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đặc tả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104"/>
    <w:bookmarkStart w:id="105"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tan rã;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105"/>
    <w:bookmarkEnd w:id="106"/>
    <w:bookmarkStart w:id="124" w:name="mô-hình-phân-tích"/>
    <w:p>
      <w:pPr>
        <w:pStyle w:val="Heading2"/>
      </w:pPr>
      <w:r>
        <w:t xml:space="preserve">3.4 Mô hình phân tích</w:t>
      </w:r>
    </w:p>
    <w:bookmarkStart w:id="107"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107"/>
    <w:bookmarkStart w:id="108"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108"/>
    <w:bookmarkStart w:id="109"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109"/>
    <w:bookmarkStart w:id="110"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gradient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110"/>
    <w:bookmarkStart w:id="113" w:name="mô-hình-điều-tiết-h2h6"/>
    <w:p>
      <w:pPr>
        <w:pStyle w:val="Heading3"/>
      </w:pPr>
      <w:r>
        <w:t xml:space="preserve">3.4.4 Mô hình điều tiết (H2–H6)</w:t>
      </w:r>
    </w:p>
    <w:bookmarkStart w:id="111"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11"/>
    <w:bookmarkStart w:id="112"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three-way điều tiết digital × institutional × manager trong bối cảnh châu Á và Pacific với 50 nước chưa được kiểm định trước đây.</w:t>
      </w:r>
    </w:p>
    <w:bookmarkEnd w:id="112"/>
    <w:bookmarkEnd w:id="113"/>
    <w:bookmarkStart w:id="114"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114"/>
    <w:bookmarkStart w:id="115"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115"/>
    <w:bookmarkStart w:id="116"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tiếng Việt:</w:t>
      </w:r>
    </w:p>
    <w:p>
      <w:pPr>
        <w:numPr>
          <w:ilvl w:val="0"/>
          <w:numId w:val="1007"/>
        </w:numPr>
        <w:pStyle w:val="Compact"/>
      </w:pPr>
      <w:r>
        <w:rPr>
          <w:bCs/>
          <w:b/>
        </w:rPr>
        <w:t xml:space="preserve">lnNSLD_it</w:t>
      </w:r>
      <w:r>
        <w:t xml:space="preserve"> </w:t>
      </w:r>
      <w:r>
        <w:t xml:space="preserve">= lnLP_it: log năng suất lao động (ln doanh thu PPP / lao động thường xuyên)</w:t>
      </w:r>
    </w:p>
    <w:p>
      <w:pPr>
        <w:numPr>
          <w:ilvl w:val="0"/>
          <w:numId w:val="1007"/>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7"/>
        </w:numPr>
        <w:pStyle w:val="Compact"/>
      </w:pPr>
      <w:r>
        <w:rPr>
          <w:bCs/>
          <w:b/>
        </w:rPr>
        <w:t xml:space="preserve">CDDXK_c²_it</w:t>
      </w:r>
      <w:r>
        <w:t xml:space="preserve"> </w:t>
      </w:r>
      <w:r>
        <w:t xml:space="preserve">= FSTS_c²_it: bình phương cường độ xuất khẩu điều chỉnh</w:t>
      </w:r>
    </w:p>
    <w:p>
      <w:pPr>
        <w:numPr>
          <w:ilvl w:val="0"/>
          <w:numId w:val="1007"/>
        </w:numPr>
        <w:pStyle w:val="Compact"/>
      </w:pPr>
      <w:r>
        <w:rPr>
          <w:bCs/>
          <w:b/>
        </w:rPr>
        <w:t xml:space="preserve">NLCN_z_it</w:t>
      </w:r>
      <w:r>
        <w:t xml:space="preserve"> </w:t>
      </w:r>
      <w:r>
        <w:t xml:space="preserve">= TCI_z_it: năng lực công nghệ (chuẩn hoá z trong sóng)</w:t>
      </w:r>
    </w:p>
    <w:p>
      <w:pPr>
        <w:numPr>
          <w:ilvl w:val="0"/>
          <w:numId w:val="1007"/>
        </w:numPr>
        <w:pStyle w:val="Compact"/>
      </w:pPr>
      <w:r>
        <w:rPr>
          <w:bCs/>
          <w:b/>
        </w:rPr>
        <w:t xml:space="preserve">CSS_z_it</w:t>
      </w:r>
      <w:r>
        <w:t xml:space="preserve"> </w:t>
      </w:r>
      <w:r>
        <w:t xml:space="preserve">= DAI_z_it: chỉ số số hoá cơ sở, Tầng 1 (chuẩn hoá z trong sóng)</w:t>
      </w:r>
    </w:p>
    <w:p>
      <w:pPr>
        <w:numPr>
          <w:ilvl w:val="0"/>
          <w:numId w:val="1007"/>
        </w:numPr>
        <w:pStyle w:val="Compact"/>
      </w:pPr>
      <w:r>
        <w:rPr>
          <w:bCs/>
          <w:b/>
        </w:rPr>
        <w:t xml:space="preserve">lnLD, TuoiDN, SoHuuNuocNgoai</w:t>
      </w:r>
      <w:r>
        <w:t xml:space="preserve">: kiểm soát quy mô, tuổi, sở hữu</w:t>
      </w:r>
    </w:p>
    <w:p>
      <w:pPr>
        <w:numPr>
          <w:ilvl w:val="0"/>
          <w:numId w:val="1007"/>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Tầng 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116"/>
    <w:bookmarkStart w:id="117"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8"/>
        </w:numPr>
        <w:pStyle w:val="Compact"/>
      </w:pPr>
      <w:r>
        <w:rPr>
          <w:bCs/>
          <w:b/>
        </w:rPr>
        <w:t xml:space="preserve">lnNSLD_i</w:t>
      </w:r>
      <w:r>
        <w:t xml:space="preserve"> </w:t>
      </w:r>
      <w:r>
        <w:t xml:space="preserve">= lnLP_i: log năng suất lao động (ln doanh thu PPP / lao động thường xuyên)</w:t>
      </w:r>
    </w:p>
    <w:p>
      <w:pPr>
        <w:numPr>
          <w:ilvl w:val="0"/>
          <w:numId w:val="1008"/>
        </w:numPr>
        <w:pStyle w:val="Compact"/>
      </w:pPr>
      <w:r>
        <w:rPr>
          <w:bCs/>
          <w:b/>
        </w:rPr>
        <w:t xml:space="preserve">CDDXK_i</w:t>
      </w:r>
      <w:r>
        <w:t xml:space="preserve"> </w:t>
      </w:r>
      <w:r>
        <w:t xml:space="preserve">= FSTS_i: cường độ xuất khẩu trực tiếp (d3c / 100)</w:t>
      </w:r>
    </w:p>
    <w:p>
      <w:pPr>
        <w:numPr>
          <w:ilvl w:val="0"/>
          <w:numId w:val="1008"/>
        </w:numPr>
        <w:pStyle w:val="Compact"/>
      </w:pPr>
      <w:r>
        <w:rPr>
          <w:bCs/>
          <w:b/>
        </w:rPr>
        <w:t xml:space="preserve">CDDXK_c_i</w:t>
      </w:r>
      <w:r>
        <w:t xml:space="preserve"> </w:t>
      </w:r>
      <w:r>
        <w:t xml:space="preserve">= FSTS_c_i: CDDXK trung bình mẫu; CDDXK_c² là bình phương</w:t>
      </w:r>
    </w:p>
    <w:p>
      <w:pPr>
        <w:numPr>
          <w:ilvl w:val="0"/>
          <w:numId w:val="1008"/>
        </w:numPr>
        <w:pStyle w:val="Compact"/>
      </w:pPr>
      <w:r>
        <w:rPr>
          <w:bCs/>
          <w:b/>
        </w:rPr>
        <w:t xml:space="preserve">NLCN_z_i</w:t>
      </w:r>
      <w:r>
        <w:t xml:space="preserve"> </w:t>
      </w:r>
      <w:r>
        <w:t xml:space="preserve">= TCI_z_i: năng lực công nghệ, chuẩn hóa z của trung bình(b8₀₁, e6₀₁)</w:t>
      </w:r>
    </w:p>
    <w:p>
      <w:pPr>
        <w:numPr>
          <w:ilvl w:val="0"/>
          <w:numId w:val="1008"/>
        </w:numPr>
        <w:pStyle w:val="Compact"/>
      </w:pPr>
      <w:r>
        <w:rPr>
          <w:bCs/>
          <w:b/>
        </w:rPr>
        <w:t xml:space="preserve">CSS_z_i</w:t>
      </w:r>
      <w:r>
        <w:t xml:space="preserve"> </w:t>
      </w:r>
      <w:r>
        <w:t xml:space="preserve">= DAI_z_i: chỉ số số hoá</w:t>
      </w:r>
      <w:r>
        <w:t xml:space="preserve"> </w:t>
      </w:r>
      <w:r>
        <w:rPr>
          <w:bCs/>
          <w:b/>
        </w:rPr>
        <w:t xml:space="preserve">Tầng 1 và 2</w:t>
      </w:r>
      <w:r>
        <w:t xml:space="preserve">, chuẩn hóa z của trung bình(c22b₀₁, k33₀₁, k38₀₁); khác P3 ở chỗ bao gồm e-payment hai chiều (Tầng 2)</w:t>
      </w:r>
    </w:p>
    <w:p>
      <w:pPr>
        <w:numPr>
          <w:ilvl w:val="0"/>
          <w:numId w:val="1008"/>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8"/>
        </w:numPr>
        <w:pStyle w:val="Compact"/>
      </w:pPr>
      <w:r>
        <w:rPr>
          <w:bCs/>
          <w:b/>
        </w:rPr>
        <w:t xml:space="preserve">δ_s</w:t>
      </w:r>
      <w:r>
        <w:t xml:space="preserve">: sector hiệu ứng cố định (ISIC 1-chữ số)</w:t>
      </w:r>
    </w:p>
    <w:p>
      <w:pPr>
        <w:numPr>
          <w:ilvl w:val="0"/>
          <w:numId w:val="1008"/>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quốc tế hóa và hiệu quả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Tầng 1 và 2</w:t>
            </w:r>
          </w:p>
        </w:tc>
        <w:tc>
          <w:tcPr/>
          <w:p>
            <w:pPr>
              <w:pStyle w:val="Compact"/>
              <w:jc w:val="left"/>
            </w:pPr>
            <w:r>
              <w:t xml:space="preserve">Số hoá Tầng 1 và 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117"/>
    <w:bookmarkStart w:id="118"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2.619; 2024: N = 1.940; pooled N = 4.559).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9"/>
        </w:numPr>
        <w:pStyle w:val="Compact"/>
      </w:pPr>
      <w:r>
        <w:rPr>
          <w:bCs/>
          <w:b/>
        </w:rPr>
        <w:t xml:space="preserve">lnNSLD_it</w:t>
      </w:r>
      <w:r>
        <w:t xml:space="preserve"> </w:t>
      </w:r>
      <w:r>
        <w:t xml:space="preserve">= lnLP_it: log năng suất lao động (biến phụ thuộc)</w:t>
      </w:r>
    </w:p>
    <w:p>
      <w:pPr>
        <w:numPr>
          <w:ilvl w:val="0"/>
          <w:numId w:val="1009"/>
        </w:numPr>
        <w:pStyle w:val="Compact"/>
      </w:pPr>
      <w:r>
        <w:rPr>
          <w:bCs/>
          <w:b/>
        </w:rPr>
        <w:t xml:space="preserve">CDDXK_c_it</w:t>
      </w:r>
      <w:r>
        <w:t xml:space="preserve"> </w:t>
      </w:r>
      <w:r>
        <w:t xml:space="preserve">= FSTS_c_it: cường độ xuất khẩu centred theo trung bình sóng</w:t>
      </w:r>
    </w:p>
    <w:p>
      <w:pPr>
        <w:numPr>
          <w:ilvl w:val="0"/>
          <w:numId w:val="1009"/>
        </w:numPr>
        <w:pStyle w:val="Compact"/>
      </w:pPr>
      <w:r>
        <w:rPr>
          <w:bCs/>
          <w:b/>
        </w:rPr>
        <w:t xml:space="preserve">NLCN_z_it</w:t>
      </w:r>
      <w:r>
        <w:t xml:space="preserve"> </w:t>
      </w:r>
      <w:r>
        <w:t xml:space="preserve">= TCI_full_z_it: năng lực công nghệ toàn diện, chuẩn hóa z của TB(b8₀₁, e6₀₁, h1₀₁, h8₀₁); mở rộng hơn P3</w:t>
      </w:r>
    </w:p>
    <w:p>
      <w:pPr>
        <w:numPr>
          <w:ilvl w:val="0"/>
          <w:numId w:val="1009"/>
        </w:numPr>
        <w:pStyle w:val="Compact"/>
      </w:pPr>
      <w:r>
        <w:rPr>
          <w:bCs/>
          <w:b/>
        </w:rPr>
        <w:t xml:space="preserve">CSS_z_it</w:t>
      </w:r>
      <w:r>
        <w:t xml:space="preserve"> </w:t>
      </w:r>
      <w:r>
        <w:t xml:space="preserve">= DAI_core_it: chỉ số số hoá cơ bản, chỉ c22b₀₁ (Tầng 1 mỏng, một chỉ báo nhị phân)</w:t>
      </w:r>
    </w:p>
    <w:p>
      <w:pPr>
        <w:numPr>
          <w:ilvl w:val="0"/>
          <w:numId w:val="1009"/>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9"/>
        </w:numPr>
        <w:pStyle w:val="Compact"/>
      </w:pPr>
      <w:r>
        <w:rPr>
          <w:bCs/>
          <w:b/>
        </w:rPr>
        <w:t xml:space="preserve">δ_s</w:t>
      </w:r>
      <w:r>
        <w:t xml:space="preserve">: sector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Tầng 1 đơn biến</w:t>
            </w:r>
            <w:r>
              <w:t xml:space="preserve"> </w:t>
            </w:r>
            <w:r>
              <w:t xml:space="preserve">(binary)</w:t>
            </w:r>
          </w:p>
        </w:tc>
        <w:tc>
          <w:tcPr/>
          <w:p>
            <w:pPr>
              <w:pStyle w:val="Compact"/>
              <w:jc w:val="left"/>
            </w:pPr>
            <w:r>
              <w:t xml:space="preserve">Số hoá Tầng 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Tầng 1 đơn biến, không đủ để kiểm định CDCM; hàm ý chính sách và lý thuyết khác với P4 Singapore (Tầng 1 và 2).</w:t>
      </w:r>
    </w:p>
    <w:p>
      <w:r>
        <w:pict>
          <v:rect style="width:0;height:1.5pt" o:hralign="center" o:hrstd="t" o:hr="t"/>
        </w:pict>
      </w:r>
    </w:p>
    <w:bookmarkEnd w:id="118"/>
    <w:bookmarkStart w:id="121" w:name="Xef1ee77b66ccd9962e55365d60bd74be93a9b17"/>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10"/>
        </w:numPr>
        <w:pStyle w:val="Compact"/>
      </w:pPr>
      <w:r>
        <w:rPr>
          <w:bCs/>
          <w:b/>
        </w:rPr>
        <w:t xml:space="preserve">lnNSLD_it</w:t>
      </w:r>
      <w:r>
        <w:t xml:space="preserve">: ln(năng suất lao động) = ln(doanh thu / lao động thường trực), biến phụ thuộc</w:t>
      </w:r>
    </w:p>
    <w:p>
      <w:pPr>
        <w:numPr>
          <w:ilvl w:val="0"/>
          <w:numId w:val="1010"/>
        </w:numPr>
        <w:pStyle w:val="Compact"/>
      </w:pPr>
      <w:r>
        <w:rPr>
          <w:bCs/>
          <w:b/>
        </w:rPr>
        <w:t xml:space="preserve">CDDXK_c_it</w:t>
      </w:r>
      <w:r>
        <w:t xml:space="preserve">: cường độ xuất khẩu mean-centred, FSTS_c = (d3c/100) − mean_pool(FSTS)</w:t>
      </w:r>
    </w:p>
    <w:p>
      <w:pPr>
        <w:numPr>
          <w:ilvl w:val="0"/>
          <w:numId w:val="1010"/>
        </w:numPr>
        <w:pStyle w:val="Compact"/>
      </w:pPr>
      <w:r>
        <w:rPr>
          <w:bCs/>
          <w:b/>
        </w:rPr>
        <w:t xml:space="preserve">CDDXK_c²_it</w:t>
      </w:r>
      <w:r>
        <w:t xml:space="preserve">: CDDXK_c bình phương, kiểm định phi tuyến</w:t>
      </w:r>
    </w:p>
    <w:p>
      <w:pPr>
        <w:numPr>
          <w:ilvl w:val="0"/>
          <w:numId w:val="1010"/>
        </w:numPr>
        <w:pStyle w:val="Compact"/>
      </w:pPr>
      <w:r>
        <w:rPr>
          <w:bCs/>
          <w:b/>
        </w:rPr>
        <w:t xml:space="preserve">NLCN_z_it</w:t>
      </w:r>
      <w:r>
        <w:t xml:space="preserve">: năng lực công nghệ z-standardised, TCI_z = chuẩn hóa z(b8, e6)</w:t>
      </w:r>
    </w:p>
    <w:p>
      <w:pPr>
        <w:numPr>
          <w:ilvl w:val="0"/>
          <w:numId w:val="1010"/>
        </w:numPr>
        <w:pStyle w:val="Compact"/>
      </w:pPr>
      <w:r>
        <w:rPr>
          <w:bCs/>
          <w:b/>
        </w:rPr>
        <w:t xml:space="preserve">CSS_z_it</w:t>
      </w:r>
      <w:r>
        <w:t xml:space="preserve">: chỉ số số hoá z-standardised, DAI_z = chuẩn hóa z(website + e-pay, Tầng 1 và 2: c22b/e1, k33)</w:t>
      </w:r>
    </w:p>
    <w:p>
      <w:pPr>
        <w:numPr>
          <w:ilvl w:val="0"/>
          <w:numId w:val="1010"/>
        </w:numPr>
        <w:pStyle w:val="Compact"/>
      </w:pPr>
      <w:r>
        <w:rPr>
          <w:bCs/>
          <w:b/>
        </w:rPr>
        <w:t xml:space="preserve">KNQLy_it</w:t>
      </w:r>
      <w:r>
        <w:t xml:space="preserve">: kinh nghiệm nhà quản lý trong ngành (năm, b7)</w:t>
      </w:r>
    </w:p>
    <w:p>
      <w:pPr>
        <w:numPr>
          <w:ilvl w:val="0"/>
          <w:numId w:val="1010"/>
        </w:numPr>
        <w:pStyle w:val="Compact"/>
      </w:pPr>
      <w:r>
        <w:rPr>
          <w:bCs/>
          <w:b/>
        </w:rPr>
        <w:t xml:space="preserve">NQL_nu_it</w:t>
      </w:r>
      <w:r>
        <w:t xml:space="preserve">: top manager là nữ (binary, b7a/b6a)</w:t>
      </w:r>
    </w:p>
    <w:p>
      <w:pPr>
        <w:numPr>
          <w:ilvl w:val="0"/>
          <w:numId w:val="1010"/>
        </w:numPr>
        <w:pStyle w:val="Compact"/>
      </w:pPr>
      <w:r>
        <w:rPr>
          <w:bCs/>
          <w:b/>
        </w:rPr>
        <w:t xml:space="preserve">ICRV_j</w:t>
      </w:r>
      <w:r>
        <w:t xml:space="preserve">: phân loại chế độ thể chế ICRV (integer 1–6, Advanced sang SIDS)</w:t>
      </w:r>
    </w:p>
    <w:p>
      <w:pPr>
        <w:numPr>
          <w:ilvl w:val="0"/>
          <w:numId w:val="1010"/>
        </w:numPr>
        <w:pStyle w:val="Compact"/>
      </w:pPr>
      <w:r>
        <w:rPr>
          <w:bCs/>
          <w:b/>
        </w:rPr>
        <w:t xml:space="preserve">lnLD_it</w:t>
      </w:r>
      <w:r>
        <w:t xml:space="preserve">: ln(lao động thường trực), kiểm soát quy mô doanh nghiệp</w:t>
      </w:r>
    </w:p>
    <w:p>
      <w:pPr>
        <w:numPr>
          <w:ilvl w:val="0"/>
          <w:numId w:val="1010"/>
        </w:numPr>
        <w:pStyle w:val="Compact"/>
      </w:pPr>
      <w:r>
        <w:rPr>
          <w:bCs/>
          <w:b/>
        </w:rPr>
        <w:t xml:space="preserve">TuoiDN_it</w:t>
      </w:r>
      <w:r>
        <w:t xml:space="preserve">: tuổi doanh nghiệp (năm_khảo_sát − b5)</w:t>
      </w:r>
    </w:p>
    <w:p>
      <w:pPr>
        <w:numPr>
          <w:ilvl w:val="0"/>
          <w:numId w:val="1010"/>
        </w:numPr>
        <w:pStyle w:val="Compact"/>
      </w:pPr>
      <w:r>
        <w:rPr>
          <w:bCs/>
          <w:b/>
        </w:rPr>
        <w:t xml:space="preserve">SoHuuNN_it</w:t>
      </w:r>
      <w:r>
        <w:t xml:space="preserve">: tỷ lệ sở hữu nước ngoài (b6a/100)</w:t>
      </w:r>
    </w:p>
    <w:p>
      <w:pPr>
        <w:numPr>
          <w:ilvl w:val="0"/>
          <w:numId w:val="1010"/>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nor/>
              <m:sty m:val="p"/>
            </m:rPr>
            <m:t>, 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(ba vùng): 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r>
            <m:rPr>
              <m:nor/>
              <m:sty m:val="p"/>
            </m:rPr>
            <m:t> gần tuyến tính ở Nhóm I; tan rã ở Nhóm V–VI</m:t>
          </m:r>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r>
            <m:rPr>
              <m:nor/>
              <m:sty m:val="p"/>
            </m:rPr>
            <m:t> 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chuẩn hóa z(website + e-payment): Tầng 1 và 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Tầng 1 và 2 khi k33 có mặt, Tầng 1 only khi thiếu, khác với P3 Vietnam (chỉ Tầng 1) và đồng nhất với P4 Singapore (Tầng 1 và 2). ICRV là biến điều tiết liên tục (integer), không phải dummies, nhằm giữ N đủ lớn trong M10–M11.</w:t>
      </w:r>
    </w:p>
    <w:p>
      <w:r>
        <w:pict>
          <v:rect style="width:0;height:1.5pt" o:hralign="center" o:hrstd="t" o:hr="t"/>
        </w:pict>
      </w:r>
    </w:p>
    <w:bookmarkStart w:id="119" w:name="X7ae0fbe3e53b09e3ffb61b533c4c804e40982e2"/>
    <w:p>
      <w:pPr>
        <w:pStyle w:val="Heading4"/>
      </w:pPr>
      <w:r>
        <w:t xml:space="preserve">3.4.5.5 Mô hình cụ thể: Nghiên cứu 8: đảo nhỏ Thái Bình Dương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w:r>
              <w:t xml:space="preserve">CSS_z</w:t>
            </w:r>
          </w:p>
        </w:tc>
        <w:tc>
          <w:tcPr/>
          <w:p>
            <w:pPr>
              <w:pStyle w:val="Compact"/>
              <w:jc w:val="left"/>
            </w:pPr>
            <w:r>
              <w:t xml:space="preserve">Chỉ số số hoá (Tầng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Tầng 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CSS_z (DAI) là biến đại diện tĩnh Tầng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r>
            <m:rPr>
              <m:sty m:val="p"/>
            </m:rPr>
            <m:t>⇒</m:t>
          </m:r>
          <m:r>
            <m:rPr>
              <m:nor/>
              <m:sty m:val="p"/>
            </m:rPr>
            <m:t>TCI nâng mặt bằng năng suất; không có biến điều tiết uốn đường cong (H2 moderation null)</m:t>
          </m:r>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chỉ doanh nghiệp xuất khẩu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z(website binary): Tầng 1 only</w:t>
            </w:r>
          </w:p>
        </w:tc>
        <w:tc>
          <w:tcPr/>
          <w:p>
            <w:pPr>
              <w:pStyle w:val="Compact"/>
              <w:jc w:val="left"/>
            </w:pPr>
            <w:r>
              <w:t xml:space="preserve">Số hoá, biến đại diện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Tầng 1 only, WBES không thu thập thang đo đầy đủ cho số hoá động tại SIDS.</w:t>
      </w:r>
    </w:p>
    <w:p>
      <w:r>
        <w:pict>
          <v:rect style="width:0;height:1.5pt" o:hralign="center" o:hrstd="t" o:hr="t"/>
        </w:pict>
      </w:r>
    </w:p>
    <w:bookmarkEnd w:id="119"/>
    <w:bookmarkStart w:id="120"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Tầng 2 (</w:t>
      </w:r>
      <w:r>
        <w:rPr>
          <w:rStyle w:val="VerbatimChar"/>
        </w:rPr>
        <w:t xml:space="preserve">k33</w:t>
      </w:r>
      <w:r>
        <w:t xml:space="preserve">, tỷ trọng doanh thu qua thanh toán điện tử) cho phép kiểm định điều tiết DAI Tầng 2, được xử lý như phân tích thăm dò vì chỉ có ở một đợt.</w:t>
      </w:r>
    </w:p>
    <w:bookmarkEnd w:id="120"/>
    <w:bookmarkEnd w:id="121"/>
    <w:bookmarkStart w:id="122"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122"/>
    <w:bookmarkStart w:id="123"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đặc tả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23"/>
    <w:bookmarkEnd w:id="124"/>
    <w:bookmarkStart w:id="135" w:name="kiểm-định-độ-vững"/>
    <w:p>
      <w:pPr>
        <w:pStyle w:val="Heading2"/>
      </w:pPr>
      <w:r>
        <w:t xml:space="preserve">3.5 Kiểm định độ vững</w:t>
      </w:r>
    </w:p>
    <w:bookmarkStart w:id="125"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Tầng 1 và biến thể gồm cả Tầng 2 trên mẫu con từ năm 2024 trở đi, nơi các chỉ báo số phong phú hơn đã sẵn có.</w:t>
      </w:r>
    </w:p>
    <w:bookmarkEnd w:id="125"/>
    <w:bookmarkStart w:id="126"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126"/>
    <w:bookmarkStart w:id="127"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127"/>
    <w:bookmarkStart w:id="128"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đặc tả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128"/>
    <w:bookmarkStart w:id="129"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129"/>
    <w:bookmarkStart w:id="130"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đặc tả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Tầng 1 và biến thể Tầng 1 cộng Tầng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30"/>
    <w:bookmarkStart w:id="131"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gradient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schema thay vì thay đổi thực chất (ví dụ mức R&amp;D đo được ở một số nhóm). Luận án giảm thiểu rủi ro này bằng hiệu ứng cố định năm/đợt, chuẩn hóa within country–year, và kiểm tra độ nhạy với biến thể thước đo (Mục 3.5.1); tuy vậy luận án chưa thực hiện kiểm định bất biến đo lường chính thức, nên mọi so sánh xuyên-schema cần được đọc một cách thận trọng.</w:t>
      </w:r>
    </w:p>
    <w:bookmarkEnd w:id="131"/>
    <w:bookmarkStart w:id="132"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Tầng 1 không khác biệt thống kê với không, một kết quả độ vững củng cố cách diễn giải tính lỗi thời của biến đại diện Tầng 1 trong môi trường số đã lan tỏa gần phổ quát.</w:t>
      </w:r>
    </w:p>
    <w:bookmarkEnd w:id="132"/>
    <w:bookmarkStart w:id="133"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33"/>
    <w:bookmarkStart w:id="134" w:name="X9d6404b3058a9ea6c8e6196550350ab05ad4e76"/>
    <w:p>
      <w:pPr>
        <w:pStyle w:val="Heading3"/>
      </w:pPr>
      <w:r>
        <w:t xml:space="preserve">3.5.6.3 Tính nhất quán về dấu qua nhiều đặc tả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đặc tả,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đặc tả: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134"/>
    <w:bookmarkEnd w:id="135"/>
    <w:bookmarkStart w:id="136"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doanh nghiệp đa chiều trong bối cảnh WBES</w:t>
            </w:r>
          </w:p>
        </w:tc>
      </w:tr>
      <w:tr>
        <w:tc>
          <w:tcPr/>
          <w:p>
            <w:pPr>
              <w:pStyle w:val="Compact"/>
              <w:jc w:val="left"/>
            </w:pPr>
            <w:r>
              <w:t xml:space="preserve">FSTS + FSTS²</w:t>
            </w:r>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cấu trúc purity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điều tiết</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136"/>
    <w:bookmarkStart w:id="137"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p>
      <w:r>
        <w:br w:type="page"/>
      </w:r>
    </w:p>
    <w:bookmarkEnd w:id="137"/>
    <w:bookmarkStart w:id="138" w:name="chương-4-kết-quả-nghiên-cứu"/>
    <w:p>
      <w:pPr>
        <w:pStyle w:val="Heading1"/>
      </w:pPr>
      <w:r>
        <w:t xml:space="preserve">CHƯƠNG 4: KẾT QUẢ NGHIÊN CỨU</w:t>
      </w:r>
    </w:p>
    <w:bookmarkEnd w:id="138"/>
    <w:p>
      <w:r>
        <w:pict>
          <v:rect style="width:0;height:1.5pt" o:hralign="center" o:hrstd="t" o:hr="t"/>
        </w:pict>
      </w:r>
    </w:p>
    <w:bookmarkStart w:id="139"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139"/>
    <w:bookmarkStart w:id="169" w:name="Xed285cd0261846a13dee28de69c0403b250498d"/>
    <w:p>
      <w:pPr>
        <w:pStyle w:val="Heading2"/>
      </w:pPr>
      <w:r>
        <w:t xml:space="preserve">4.1 Thực trạng quốc tế hóa và hiệu quả hoạt động kinh doanh tại châu Á</w:t>
      </w:r>
    </w:p>
    <w:bookmarkStart w:id="146" w:name="Xdc33a1e36e2f3be83736669663a61a68c91d087"/>
    <w:p>
      <w:pPr>
        <w:pStyle w:val="Heading3"/>
      </w:pPr>
      <w:r>
        <w:t xml:space="preserve">4.1.1 Bức tranh tổng thể về hiệu quả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phân loại 4.1 dưới đây dựa trên bộ dữ liệu ước lượng đa quốc gia (pool phân loại 96.415 doanh nghiệp / 52 nhãn nền; khung phân tích 88.869 / 50 nền, gồm Nhật Bản; mẫu hồi quy chính P7 M2 N = 81.022), nhất quán với thống kê mô tả chi tiết của Chuyên đề 1 trên đầy đủ 50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(pool gộp WBES 2003–2025; số doanh nghiệp phân loại ICRV ≈ 96.415; khung phân tích 88.869/50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n/a</w:t>
            </w:r>
          </w:p>
        </w:tc>
      </w:tr>
      <w:tr>
        <w:tc>
          <w:tcPr/>
          <w:p>
            <w:pPr>
              <w:pStyle w:val="Compact"/>
              <w:jc w:val="left"/>
            </w:pPr>
            <w:r>
              <w:t xml:space="preserve">Nhóm III: trung bình cao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đang nổi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2003–2025.</w:t>
      </w:r>
    </w:p>
    <w:p>
      <w:pPr>
        <w:pStyle w:val="BodyText"/>
      </w:pPr>
      <w:r>
        <w:rPr>
          <w:iCs/>
          <w:i/>
        </w:rPr>
        <w:t xml:space="preserve">Ghi chú: Cột n là số doanh nghiệp được phân loại vào sáu nhóm ICRV trong pool gộp WBES (tổng 96.415; ngoài ra còn ~10.350 doanh nghiệp chưa gán nhóm ICRV do thiếu chỉ số thể chế). Mẫu hồi quy chính của P7 là N = 81.022 (mô hình M2, khung 50 nền gồm Nhật Bản) và giảm còn 79.080 ở M5 khi bổ sung biến kiểm soát (xem Mục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Mục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gradient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141" name="Picture"/>
            <a:graphic>
              <a:graphicData uri="http://schemas.openxmlformats.org/drawingml/2006/picture">
                <pic:pic>
                  <pic:nvPicPr>
                    <pic:cNvPr descr="figures/fig_4_1_pool_composition.png" id="142" name="Picture"/>
                    <pic:cNvPicPr>
                      <a:picLocks noChangeArrowheads="1" noChangeAspect="1"/>
                    </pic:cNvPicPr>
                  </pic:nvPicPr>
                  <pic:blipFill>
                    <a:blip r:embed="rId140"/>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144" name="Picture"/>
            <a:graphic>
              <a:graphicData uri="http://schemas.openxmlformats.org/drawingml/2006/picture">
                <pic:pic>
                  <pic:nvPicPr>
                    <pic:cNvPr descr="figures/fig_4_0_pool_by_year.png" id="145" name="Picture"/>
                    <pic:cNvPicPr>
                      <a:picLocks noChangeArrowheads="1" noChangeAspect="1"/>
                    </pic:cNvPicPr>
                  </pic:nvPicPr>
                  <pic:blipFill>
                    <a:blip r:embed="rId143"/>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146"/>
    <w:bookmarkStart w:id="150"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(trung bình cao), với mức trung bình khu vực khoảng 8,8%.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148" name="Picture"/>
            <a:graphic>
              <a:graphicData uri="http://schemas.openxmlformats.org/drawingml/2006/picture">
                <pic:pic>
                  <pic:nvPicPr>
                    <pic:cNvPr descr="figures/fig_4_4_growth_pathway.png" id="149" name="Picture"/>
                    <pic:cNvPicPr>
                      <a:picLocks noChangeArrowheads="1" noChangeAspect="1"/>
                    </pic:cNvPicPr>
                  </pic:nvPicPr>
                  <pic:blipFill>
                    <a:blip r:embed="rId147"/>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150"/>
    <w:bookmarkStart w:id="154"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Tầng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2003–2025.</w:t>
      </w:r>
    </w:p>
    <w:p>
      <w:pPr>
        <w:pStyle w:val="BodyText"/>
      </w:pPr>
      <w:r>
        <w:rPr>
          <w:iCs/>
          <w:i/>
        </w:rPr>
        <w:t xml:space="preserve">Ghi chú: Bảng 4.2 được tính trực tiếp từ dữ liệu thô WBES trên khung 50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21,0% (Nhóm I) xuống 10,2% (Nhóm VI); ISO 32,5% xuống 12,2%; website 69,2% xuống 41,5%. Bộ số này nhất quán với phân tích thực trạng ở Chuyên đề 1.</w:t>
      </w:r>
    </w:p>
    <w:p>
      <w:pPr>
        <w:pStyle w:val="BodyText"/>
      </w:pPr>
      <w:r>
        <w:t xml:space="preserve">Phát hiện đáng chú ý là pattern</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thấp nhất, và đây là nhóm duy nhất có quan hệ quốc tế hóa và hiệu quả âm đơn điệu (FIP).</w:t>
      </w:r>
    </w:p>
    <w:p>
      <w:pPr>
        <w:pStyle w:val="BodyText"/>
      </w:pPr>
      <w:r>
        <w:t xml:space="preserve">Một biểu hiện khác của bão hòa Tầng 1 nằm ở tương quan giữa website và năng suất: phần bù tương quan của DAI Tầng 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Tầng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152" name="Picture"/>
            <a:graphic>
              <a:graphicData uri="http://schemas.openxmlformats.org/drawingml/2006/picture">
                <pic:pic>
                  <pic:nvPicPr>
                    <pic:cNvPr descr="figures/fig_4_6_firm_size.png" id="153" name="Picture"/>
                    <pic:cNvPicPr>
                      <a:picLocks noChangeArrowheads="1" noChangeAspect="1"/>
                    </pic:cNvPicPr>
                  </pic:nvPicPr>
                  <pic:blipFill>
                    <a:blip r:embed="rId151"/>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154"/>
    <w:bookmarkStart w:id="155"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voids tại đang nổi và SIDS giải thích tại sao quan hệ quốc tế hóa và hiệu quả ở các nhóm này yếu hoặc âm.</w:t>
      </w:r>
    </w:p>
    <w:bookmarkEnd w:id="155"/>
    <w:bookmarkStart w:id="156"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gradient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Tầng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văn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56"/>
    <w:bookmarkStart w:id="166" w:name="Xa7d4e14564d57b0a9bb7f3939becc5ff181d680"/>
    <w:p>
      <w:pPr>
        <w:pStyle w:val="Heading3"/>
      </w:pPr>
      <w:r>
        <w:t xml:space="preserve">4.1.6 So sánh xuyên nhóm ICRV: gradient tương quan và độ phân tán hiệu quả</w:t>
      </w:r>
    </w:p>
    <w:p>
      <w:pPr>
        <w:pStyle w:val="FirstParagraph"/>
      </w:pPr>
      <w:r>
        <w:t xml:space="preserve">Khi đặt cạnh nhau toàn bộ các chỉ báo mô tả theo sáu nhóm ICRV, một bức tranh có cấu trúc nổi lên trong đó cường độ và đôi khi cả dấu của các tương quan thô biến thiên theo chiều suy yếu của thể chế. Hệ số tương quan Pearson giữa năng suất lao động chuẩn hóa và cường độ quốc tế hóa giảm đơn điệu theo gradient thể chế: từ</w:t>
      </w:r>
      <w:r>
        <w:t xml:space="preserve"> </w:t>
      </w:r>
      <m:oMath>
        <m:r>
          <m:rPr>
            <m:sty m:val="p"/>
          </m:rPr>
          <m:t>+</m:t>
        </m:r>
        <m:r>
          <m:t>0</m:t>
        </m:r>
        <m:r>
          <m:rPr>
            <m:sty m:val="p"/>
          </m:rPr>
          <m:t>,</m:t>
        </m:r>
        <m:r>
          <m:t>139</m:t>
        </m:r>
      </m:oMath>
      <w:r>
        <w:t xml:space="preserve"> </w:t>
      </w:r>
      <w:r>
        <w:t xml:space="preserve">ở Nhóm I, qua</w:t>
      </w:r>
      <w:r>
        <w:t xml:space="preserve"> </w:t>
      </w:r>
      <m:oMath>
        <m:r>
          <m:rPr>
            <m:sty m:val="p"/>
          </m:rPr>
          <m:t>+</m:t>
        </m:r>
        <m:r>
          <m:t>0</m:t>
        </m:r>
        <m:r>
          <m:rPr>
            <m:sty m:val="p"/>
          </m:rPr>
          <m:t>,</m:t>
        </m:r>
        <m:r>
          <m:t>131</m:t>
        </m:r>
      </m:oMath>
      <w:r>
        <w:t xml:space="preserve"> </w:t>
      </w:r>
      <w:r>
        <w:t xml:space="preserve">ở Nhóm II,</w:t>
      </w:r>
      <w:r>
        <w:t xml:space="preserve"> </w:t>
      </w:r>
      <m:oMath>
        <m:r>
          <m:rPr>
            <m:sty m:val="p"/>
          </m:rPr>
          <m:t>+</m:t>
        </m:r>
        <m:r>
          <m:t>0</m:t>
        </m:r>
        <m:r>
          <m:rPr>
            <m:sty m:val="p"/>
          </m:rPr>
          <m:t>,</m:t>
        </m:r>
        <m:r>
          <m:t>094</m:t>
        </m:r>
      </m:oMath>
      <w:r>
        <w:t xml:space="preserve"> </w:t>
      </w:r>
      <w:r>
        <w:t xml:space="preserve">ở Nhóm III,</w:t>
      </w:r>
      <w:r>
        <w:t xml:space="preserve"> </w:t>
      </w:r>
      <m:oMath>
        <m:r>
          <m:rPr>
            <m:sty m:val="p"/>
          </m:rPr>
          <m:t>+</m:t>
        </m:r>
        <m:r>
          <m:t>0</m:t>
        </m:r>
        <m:r>
          <m:rPr>
            <m:sty m:val="p"/>
          </m:rPr>
          <m:t>,</m:t>
        </m:r>
        <m:r>
          <m:t>047</m:t>
        </m:r>
      </m:oMath>
      <w:r>
        <w:t xml:space="preserve"> </w:t>
      </w:r>
      <w:r>
        <w:t xml:space="preserve">ở Nhóm IV,</w:t>
      </w:r>
      <w:r>
        <w:t xml:space="preserve"> </w:t>
      </w:r>
      <m:oMath>
        <m:r>
          <m:rPr>
            <m:sty m:val="p"/>
          </m:rPr>
          <m:t>+</m:t>
        </m:r>
        <m:r>
          <m:t>0</m:t>
        </m:r>
        <m:r>
          <m:rPr>
            <m:sty m:val="p"/>
          </m:rPr>
          <m:t>,</m:t>
        </m:r>
        <m:r>
          <m:t>018</m:t>
        </m:r>
      </m:oMath>
      <w:r>
        <w:t xml:space="preserve"> </w:t>
      </w:r>
      <w:r>
        <w:t xml:space="preserve">ở Nhóm V, rồi mất ý nghĩa thống kê và đổi dấu ở SIDS (</w:t>
      </w:r>
      <m:oMath>
        <m:r>
          <m:rPr>
            <m:sty m:val="p"/>
          </m:rPr>
          <m:t>−</m:t>
        </m:r>
        <m:r>
          <m:t>0</m:t>
        </m:r>
        <m:r>
          <m:rPr>
            <m:sty m:val="p"/>
          </m:rPr>
          <m:t>,</m:t>
        </m:r>
        <m:r>
          <m:t>009</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ngoại lệ duy nhất về dấu,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Gradient năng lực công nghệ theo sáu nhóm ICRV" title="" id="158" name="Picture"/>
            <a:graphic>
              <a:graphicData uri="http://schemas.openxmlformats.org/drawingml/2006/picture">
                <pic:pic>
                  <pic:nvPicPr>
                    <pic:cNvPr descr="figures/fig_icrv_capability_gradient.png" id="159" name="Picture"/>
                    <pic:cNvPicPr>
                      <a:picLocks noChangeArrowheads="1" noChangeAspect="1"/>
                    </pic:cNvPicPr>
                  </pic:nvPicPr>
                  <pic:blipFill>
                    <a:blip r:embed="rId157"/>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Gradient năng lực công nghệ theo sáu nhóm ICRV</w:t>
      </w:r>
    </w:p>
    <w:p>
      <w:pPr>
        <w:pStyle w:val="BodyText"/>
      </w:pPr>
      <w:r>
        <w:t xml:space="preserve">Ngược với gradient của quốc tế hóa, năng lực công nghệ là yếu tố tương quan mạnh và đồng đều nhất ở mọi nhóm, dao động từ</w:t>
      </w:r>
      <w:r>
        <w:t xml:space="preserve"> </w:t>
      </w:r>
      <m:oMath>
        <m:r>
          <m:rPr>
            <m:sty m:val="p"/>
          </m:rPr>
          <m:t>+</m:t>
        </m:r>
        <m:r>
          <m:t>0</m:t>
        </m:r>
        <m:r>
          <m:rPr>
            <m:sty m:val="p"/>
          </m:rPr>
          <m:t>,</m:t>
        </m:r>
        <m:r>
          <m:t>117</m:t>
        </m:r>
      </m:oMath>
      <w:r>
        <w:t xml:space="preserve"> </w:t>
      </w:r>
      <w:r>
        <w:t xml:space="preserve">ở SIDS đến</w:t>
      </w:r>
      <w:r>
        <w:t xml:space="preserve"> </w:t>
      </w:r>
      <m:oMath>
        <m:r>
          <m:rPr>
            <m:sty m:val="p"/>
          </m:rPr>
          <m:t>+</m:t>
        </m:r>
        <m:r>
          <m:t>0</m:t>
        </m:r>
        <m:r>
          <m:rPr>
            <m:sty m:val="p"/>
          </m:rPr>
          <m:t>,</m:t>
        </m:r>
        <m:r>
          <m:t>240</m:t>
        </m:r>
      </m:oMath>
      <w:r>
        <w:t xml:space="preserve"> </w:t>
      </w:r>
      <w:r>
        <w:t xml:space="preserve">ở Nhóm III,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104</m:t>
        </m:r>
      </m:oMath>
      <w:r>
        <w:t xml:space="preserve"> </w:t>
      </w:r>
      <w:r>
        <w:t xml:space="preserve">và SIDS</w:t>
      </w:r>
      <w:r>
        <w:t xml:space="preserve"> </w:t>
      </w:r>
      <m:oMath>
        <m:r>
          <m:rPr>
            <m:sty m:val="p"/>
          </m:rPr>
          <m:t>+</m:t>
        </m:r>
        <m:r>
          <m:t>0</m:t>
        </m:r>
        <m:r>
          <m:rPr>
            <m:sty m:val="p"/>
          </m:rPr>
          <m:t>,</m:t>
        </m:r>
        <m:r>
          <m:t>122</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161" name="Picture"/>
            <a:graphic>
              <a:graphicData uri="http://schemas.openxmlformats.org/drawingml/2006/picture">
                <pic:pic>
                  <pic:nvPicPr>
                    <pic:cNvPr descr="figures/fig_4_2_productivity_density.png" id="162" name="Picture"/>
                    <pic:cNvPicPr>
                      <a:picLocks noChangeArrowheads="1" noChangeAspect="1"/>
                    </pic:cNvPicPr>
                  </pic:nvPicPr>
                  <pic:blipFill>
                    <a:blip r:embed="rId160"/>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gradient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4</m:t>
        </m:r>
      </m:oMath>
      <w:r>
        <w:t xml:space="preserve"> </w:t>
      </w:r>
      <w:r>
        <w:t xml:space="preserve">lần ở Nhóm I lên</w:t>
      </w:r>
      <w:r>
        <w:t xml:space="preserve"> </w:t>
      </w:r>
      <m:oMath>
        <m:r>
          <m:t>5</m:t>
        </m:r>
        <m:r>
          <m:rPr>
            <m:sty m:val="p"/>
          </m:rPr>
          <m:t>,</m:t>
        </m:r>
        <m:r>
          <m:t>8</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164" name="Picture"/>
            <a:graphic>
              <a:graphicData uri="http://schemas.openxmlformats.org/drawingml/2006/picture">
                <pic:pic>
                  <pic:nvPicPr>
                    <pic:cNvPr descr="figures/fig_4_7_spider_chart.png" id="165" name="Picture"/>
                    <pic:cNvPicPr>
                      <a:picLocks noChangeArrowheads="1" noChangeAspect="1"/>
                    </pic:cNvPicPr>
                  </pic:nvPicPr>
                  <pic:blipFill>
                    <a:blip r:embed="rId163"/>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Tầng 1) lại thấp nhất ở Nhóm I (</w:t>
      </w:r>
      <m:oMath>
        <m:r>
          <m:rPr>
            <m:sty m:val="p"/>
          </m:rPr>
          <m:t>+</m:t>
        </m:r>
        <m:r>
          <m:t>0</m:t>
        </m:r>
        <m:r>
          <m:rPr>
            <m:sty m:val="p"/>
          </m:rPr>
          <m:t>,</m:t>
        </m:r>
        <m:r>
          <m:t>090</m:t>
        </m:r>
      </m:oMath>
      <w:r>
        <w:t xml:space="preserve">), trong khi cao nhất ở Nhóm II (</w:t>
      </w:r>
      <m:oMath>
        <m:r>
          <m:rPr>
            <m:sty m:val="p"/>
          </m:rPr>
          <m:t>+</m:t>
        </m:r>
        <m:r>
          <m:t>0</m:t>
        </m:r>
        <m:r>
          <m:rPr>
            <m:sty m:val="p"/>
          </m:rPr>
          <m:t>,</m:t>
        </m:r>
        <m:r>
          <m:t>201</m:t>
        </m:r>
      </m:oMath>
      <w:r>
        <w:t xml:space="preserve">) và Nhóm IV (</w:t>
      </w:r>
      <m:oMath>
        <m:r>
          <m:rPr>
            <m:sty m:val="p"/>
          </m:rPr>
          <m:t>+</m:t>
        </m:r>
        <m:r>
          <m:t>0</m:t>
        </m:r>
        <m:r>
          <m:rPr>
            <m:sty m:val="p"/>
          </m:rPr>
          <m:t>,</m:t>
        </m:r>
        <m:r>
          <m:t>180</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Tầng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166"/>
    <w:bookmarkStart w:id="167"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167"/>
    <w:bookmarkStart w:id="168" w:name="X290a7f495c2e39016b28fc732b8af6994f1e991"/>
    <w:p>
      <w:pPr>
        <w:pStyle w:val="Heading3"/>
      </w:pPr>
      <w:r>
        <w:t xml:space="preserve">4.1.8 Gradient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gradient mức hợp lệ giữa các nền kinh tế, nhất quán với lý thuyết thể chế theo đó thể chế mạnh kéo theo chi phí giao dịch thấp và biên lợi nhuận cao hơn. Cần lưu ý rằng gradient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gradient thể chế, từ 61,7% ở Nhóm I xuống 41,2% ở Nhóm V, phù hợp với khoảng cách hạ tầng số. Đáng chú ý nhất, tỷ lệ nữ trong quản trị cấp cao không theo gradient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168"/>
    <w:bookmarkEnd w:id="169"/>
    <w:bookmarkStart w:id="178" w:name="X793daa8b2eddd060588462e198e78f93f4f770d"/>
    <w:p>
      <w:pPr>
        <w:pStyle w:val="Heading2"/>
      </w:pPr>
      <w:r>
        <w:t xml:space="preserve">4.2 Kết quả tổng hợp định lượng: phân tích tổng hợp ba tầng (P6)</w:t>
      </w:r>
    </w:p>
    <w:bookmarkStart w:id="170" w:name="chỉ-số-hiệu-ứng-tổng-hợp"/>
    <w:p>
      <w:pPr>
        <w:pStyle w:val="Heading3"/>
      </w:pPr>
      <w:r>
        <w:t xml:space="preserve">4.2.1 Chỉ số hiệu ứng tổng hợp</w:t>
      </w:r>
    </w:p>
    <w:p>
      <w:pPr>
        <w:pStyle w:val="FirstParagraph"/>
      </w:pPr>
      <w:r>
        <w:t xml:space="preserve">Phân tích phân tích tổng hợp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effect sizes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các phân tích tổng hợp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170"/>
    <w:bookmarkStart w:id="171"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văn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văn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71"/>
    <w:bookmarkStart w:id="172"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gradient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gradient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172"/>
    <w:bookmarkStart w:id="173"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văn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173"/>
    <w:bookmarkStart w:id="174"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Tổng hợp lại, bằng chứng lệch lạc công bố được xác nhận qua kiểm định Begg–Mazumdar có ý nghĩa (</w:t>
      </w:r>
      <m:oMath>
        <m:r>
          <m:t>p</m:t>
        </m:r>
        <m:r>
          <m:rPr>
            <m:sty m:val="p"/>
          </m:rPr>
          <m:t>=</m:t>
        </m:r>
        <m:r>
          <m:rPr>
            <m:sty m:val="p"/>
          </m:rPr>
          <m:t>,</m:t>
        </m:r>
        <m:r>
          <m:t>0007</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văn liệu: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174"/>
    <w:bookmarkStart w:id="175"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đặc tả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DerSimonian–Laof)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175"/>
    <w:bookmarkStart w:id="176" w:name="X8198b4c56ba06d68298cd0153da499a39f189c6"/>
    <w:p>
      <w:pPr>
        <w:pStyle w:val="Heading3"/>
      </w:pPr>
      <w:r>
        <w:t xml:space="preserve">4.2.6 Gradient hiệu ứng theo nhóm thể chế và giới hạn của bằng chứng định hướng</w:t>
      </w:r>
    </w:p>
    <w:p>
      <w:pPr>
        <w:pStyle w:val="FirstParagraph"/>
      </w:pPr>
      <w:r>
        <w:t xml:space="preserve">Bảng hệ số gộp theo từng nhóm ICRV cho thấy một bức tranh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gradient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gradient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meta-hồi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176"/>
    <w:bookmarkStart w:id="177"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475</m:t>
        </m:r>
      </m:oMath>
      <w:r>
        <w:t xml:space="preserve">,</w:t>
      </w:r>
      <w:r>
        <w:t xml:space="preserve"> </w:t>
      </w:r>
      <m:oMath>
        <m:r>
          <m:t>p</m:t>
        </m:r>
        <m:r>
          <m:rPr>
            <m:sty m:val="p"/>
          </m:rPr>
          <m:t>=</m:t>
        </m:r>
        <m:r>
          <m:rPr>
            <m:sty m:val="p"/>
          </m:rPr>
          <m:t>,</m:t>
        </m:r>
        <m:r>
          <m:t>057</m:t>
        </m:r>
      </m:oMath>
      <w:r>
        <w:t xml:space="preserve">) trong khi kiểm định thứ hạng Begg–Mazumdar lại có ý nghĩa (</w:t>
      </w:r>
      <m:oMath>
        <m:r>
          <m:t>τ</m:t>
        </m:r>
        <m:r>
          <m:rPr>
            <m:sty m:val="p"/>
          </m:rPr>
          <m:t>=</m:t>
        </m:r>
        <m:r>
          <m:rPr>
            <m:sty m:val="p"/>
          </m:rPr>
          <m:t>−</m:t>
        </m:r>
        <m:r>
          <m:t>0</m:t>
        </m:r>
        <m:r>
          <m:rPr>
            <m:sty m:val="p"/>
          </m:rPr>
          <m:t>,</m:t>
        </m:r>
        <m:r>
          <m:t>134</m:t>
        </m:r>
      </m:oMath>
      <w:r>
        <w:t xml:space="preserve">,</w:t>
      </w:r>
      <w:r>
        <w:t xml:space="preserve"> </w:t>
      </w:r>
      <m:oMath>
        <m:r>
          <m:t>p</m:t>
        </m:r>
        <m:r>
          <m:rPr>
            <m:sty m:val="p"/>
          </m:rPr>
          <m:t>=</m:t>
        </m:r>
        <m:r>
          <m:rPr>
            <m:sty m:val="p"/>
          </m:rPr>
          <m:t>,</m:t>
        </m:r>
        <m:r>
          <m:t>0007</m:t>
        </m:r>
      </m:oMath>
      <w:r>
        <w:t xml:space="preserve">), nên bằng chứng bất đối xứng dựa trên Egger đơn lẻ không được khẳng định. Quy trình cắt-và-điền (trim-and-fill) gán thêm 58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019</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Tổng hợp lại, các kiểm định độ vững và lệch lạc công bố hội tụ về một thông điệp duy nhất: quan hệ quốc tế hóa và hiệu quả ở cấp tổng hợp là dương, ổn định về dấu, nhưng nhỏ hơn nhiều so với ấn tượng từ văn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177"/>
    <w:bookmarkEnd w:id="178"/>
    <w:bookmarkStart w:id="188" w:name="Xae571c1410747d630a72c4d12985bac375822ae"/>
    <w:p>
      <w:pPr>
        <w:pStyle w:val="Heading2"/>
      </w:pPr>
      <w:r>
        <w:t xml:space="preserve">4.3 Kết quả bối cảnh thể chế tiên tiến: Đổi mới: Singapore (P4)</w:t>
      </w:r>
    </w:p>
    <w:bookmarkStart w:id="179"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179"/>
    <w:bookmarkStart w:id="180"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Tầng 1 và Tầng 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80"/>
    <w:bookmarkStart w:id="181"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81"/>
    <w:bookmarkStart w:id="182"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đặc tả cuối.</w:t>
      </w:r>
    </w:p>
    <w:bookmarkEnd w:id="182"/>
    <w:bookmarkStart w:id="183"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văn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đặc tả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83"/>
    <w:bookmarkStart w:id="184" w:name="X5b29f6d7a1e568457f8600cd8694765de8754b2"/>
    <w:p>
      <w:pPr>
        <w:pStyle w:val="Heading3"/>
      </w:pPr>
      <w:r>
        <w:t xml:space="preserve">4.3.6 Cơ chế lá chắn số: tương tác Tầng 1–Tầng 2 và hiệu ứng biên theo cường độ xuất khẩu</w:t>
      </w:r>
    </w:p>
    <w:p>
      <w:pPr>
        <w:pStyle w:val="FirstParagraph"/>
      </w:pPr>
      <w:r>
        <w:t xml:space="preserve">Bằng chứng mạnh nhất về vai trò của DAI xuất hiện ở các đặc tả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đặc tả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đặc tả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84"/>
    <w:bookmarkStart w:id="185"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185"/>
    <w:bookmarkStart w:id="186"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đặc tả chính trên mẫu Singapore. Hạng cường độ xuất khẩu tuyến tính dương và có ý nghĩa cao ở mọi đặc tả,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đặc tả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đặc tả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w:r>
              <w:t xml:space="preserve">FSTS²</w:t>
            </w:r>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w:r>
              <w:t xml:space="preserve">FSTS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w:r>
              <w:t xml:space="preserve">FSTS²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đặc tả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qua M6 → M7 →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186"/>
    <w:bookmarkStart w:id="187"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đặc tả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văn liệu kinh tế lượng rằng hiệu chỉnh Heckman thiếu công cụ loại trừ khả tín có thể chệch hơn cả ước lượng OLS cần sửa, đặc tả OLS được giữ làm đặc tả chính. Tổng hợp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Tầng 2 sẵn có về mặt thể chế làm cơ chế mở rộng quy mô có điều kiện trở nên nhận diện được về thực nghiệm.</w:t>
      </w:r>
    </w:p>
    <w:p>
      <w:r>
        <w:pict>
          <v:rect style="width:0;height:1.5pt" o:hralign="center" o:hrstd="t" o:hr="t"/>
        </w:pict>
      </w:r>
    </w:p>
    <w:bookmarkEnd w:id="187"/>
    <w:bookmarkEnd w:id="188"/>
    <w:bookmarkStart w:id="197" w:name="Xabe361c2d5961cf19ce7ab2bd5d9bc6d758140a"/>
    <w:p>
      <w:pPr>
        <w:pStyle w:val="Heading2"/>
      </w:pPr>
      <w:r>
        <w:t xml:space="preserve">4.4 Kết quả bối cảnh thể chế trung bình cao: Trung Quốc, 2012–2024 (P5)</w:t>
      </w:r>
    </w:p>
    <w:bookmarkStart w:id="189"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doanh nghiệp. Điểm điểm uốn được ước lượng tại:</w:t>
      </w:r>
    </w:p>
    <w:p>
      <w:pPr>
        <w:numPr>
          <w:ilvl w:val="0"/>
          <w:numId w:val="1012"/>
        </w:numPr>
        <w:pStyle w:val="Compact"/>
      </w:pPr>
      <w:r>
        <w:rPr>
          <w:bCs/>
          <w:b/>
        </w:rPr>
        <w:t xml:space="preserve">Năm 2012</w:t>
      </w:r>
      <w:r>
        <w:t xml:space="preserve">: TP = 49,37% FSTS</w:t>
      </w:r>
    </w:p>
    <w:p>
      <w:pPr>
        <w:numPr>
          <w:ilvl w:val="0"/>
          <w:numId w:val="1012"/>
        </w:numPr>
        <w:pStyle w:val="Compact"/>
      </w:pPr>
      <w:r>
        <w:rPr>
          <w:bCs/>
          <w:b/>
        </w:rPr>
        <w:t xml:space="preserve">Năm 2024</w:t>
      </w:r>
      <w:r>
        <w:t xml:space="preserve">: TP = 47,19% FSTS</w:t>
      </w:r>
    </w:p>
    <w:p>
      <w:pPr>
        <w:numPr>
          <w:ilvl w:val="0"/>
          <w:numId w:val="1012"/>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189"/>
    <w:bookmarkStart w:id="190"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190"/>
    <w:bookmarkStart w:id="191"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191"/>
    <w:bookmarkStart w:id="192" w:name="Xff6260f0292f1de2c718a7cc22e284da4d4195e"/>
    <w:p>
      <w:pPr>
        <w:pStyle w:val="Heading3"/>
      </w:pPr>
      <w:r>
        <w:t xml:space="preserve">4.4.4 Bộ hệ số mô hình ngưỡng chính (M2) và độ lớn kinh tế</w:t>
      </w:r>
    </w:p>
    <w:p>
      <w:pPr>
        <w:pStyle w:val="FirstParagraph"/>
      </w:pPr>
      <w:r>
        <w:t xml:space="preserve">Mô hình ngưỡng chính M2 (đặc tả</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192"/>
    <w:bookmarkStart w:id="193"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đặc tả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193"/>
    <w:bookmarkStart w:id="194"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đặc tả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Đáng chú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194"/>
    <w:bookmarkStart w:id="195"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195"/>
    <w:bookmarkStart w:id="196"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đặc tả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196"/>
    <w:bookmarkEnd w:id="197"/>
    <w:bookmarkStart w:id="209" w:name="Xdbd5cc67084304ba85b73781c0cb0c00b74055b"/>
    <w:p>
      <w:pPr>
        <w:pStyle w:val="Heading2"/>
      </w:pPr>
      <w:r>
        <w:t xml:space="preserve">4.5 Kết quả bối cảnh chuyển đổi bậc thấp–trung: Việt Nam (P3)</w:t>
      </w:r>
    </w:p>
    <w:bookmarkStart w:id="198"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mô hình chính,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198"/>
    <w:bookmarkStart w:id="199"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199"/>
    <w:bookmarkStart w:id="200" w:name="điều-tiết-bởi-tci-tích-cực-và-có-ý-nghĩa"/>
    <w:p>
      <w:pPr>
        <w:pStyle w:val="Heading3"/>
      </w:pPr>
      <w:r>
        <w:t xml:space="preserve">4.5.3 Điều tiết bởi TCI: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200"/>
    <w:bookmarkStart w:id="201" w:name="điều-tiết-bởi-dai-không-có-ý-nghĩa"/>
    <w:p>
      <w:pPr>
        <w:pStyle w:val="Heading3"/>
      </w:pPr>
      <w:r>
        <w:t xml:space="preserve">4.5.4 Điều tiết bởi DAI: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Tầng 1 DAI do giới hạn đo lường WBES trong các làn sóng này) cho kết quả yếu dương nhưng không có ý nghĩa thống kê. Kết quả này có thể phản ánh hạn chế về đo lường: Tầng 1 DAI chỉ nắm bắt mức độ chấp nhận số bề mặt (website, email, online sales) chứ không đo lường được chiều sâu năng lực số. Với dữ liệu WBES Việt Nam chỉ cung cấp Tầng 1, không đủ phân biệt để phát hiện hiệu ứng điều tiết tinh tế hơn.</w:t>
      </w:r>
    </w:p>
    <w:bookmarkEnd w:id="201"/>
    <w:bookmarkStart w:id="202"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202"/>
    <w:bookmarkStart w:id="203"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203"/>
    <w:bookmarkStart w:id="204"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(H1a), chứ không phải độ cong cường độ trong nhóm doanh nghiệp xuất khẩu (H1b).</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Tầng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204"/>
    <w:bookmarkStart w:id="205"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205"/>
    <w:bookmarkStart w:id="206"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đặc tả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206"/>
    <w:bookmarkStart w:id="207" w:name="X0255ade886bbb95bf7cfa8465e46ac63bac43a6"/>
    <w:p>
      <w:pPr>
        <w:pStyle w:val="Heading3"/>
      </w:pPr>
      <w:r>
        <w:t xml:space="preserve">4.5.10 Pin chặt độ vững: tách ngành, đặc tả bậc ba và batterie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đặc tả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đặc tả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đặc tả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207"/>
    <w:bookmarkStart w:id="208"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văn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208"/>
    <w:bookmarkEnd w:id="209"/>
    <w:bookmarkStart w:id="220" w:name="X561afa853383c674354c1acb167a55cae3a018f"/>
    <w:p>
      <w:pPr>
        <w:pStyle w:val="Heading2"/>
      </w:pPr>
      <w:r>
        <w:t xml:space="preserve">4.6 Kết quả kiểm định toàn mẫu đa bối cảnh châu Á (P7)</w:t>
      </w:r>
    </w:p>
    <w:bookmarkStart w:id="210"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79.220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210"/>
    <w:bookmarkStart w:id="214"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tan rã</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gradient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gradient</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gradient</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212" name="Picture"/>
            <a:graphic>
              <a:graphicData uri="http://schemas.openxmlformats.org/drawingml/2006/picture">
                <pic:pic>
                  <pic:nvPicPr>
                    <pic:cNvPr descr="figures/fig_4_x_ip_curves_icrv_gradient.png" id="213" name="Picture"/>
                    <pic:cNvPicPr>
                      <a:picLocks noChangeArrowheads="1" noChangeAspect="1"/>
                    </pic:cNvPicPr>
                  </pic:nvPicPr>
                  <pic:blipFill>
                    <a:blip r:embed="rId211"/>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gradient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214"/>
    <w:bookmarkStart w:id="215" w:name="điều-tiết-bởi-tci-và-dai-trong-toàn-mẫu"/>
    <w:p>
      <w:pPr>
        <w:pStyle w:val="Heading3"/>
      </w:pPr>
      <w:r>
        <w:t xml:space="preserve">4.6.3 Điều tiết bởi TCI và DAI trong toàn mẫu</w:t>
      </w:r>
    </w:p>
    <w:p>
      <w:pPr>
        <w:numPr>
          <w:ilvl w:val="0"/>
          <w:numId w:val="101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w:t>
      </w:r>
    </w:p>
    <w:bookmarkEnd w:id="215"/>
    <w:bookmarkStart w:id="216"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Đặc tả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(đặc tả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đặc tả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216"/>
    <w:bookmarkStart w:id="217"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gradient trơn. Nói cách khác, điều tiết thể chế là điều tiết về sự tồn tại của dạng hàm, không phải điều tiết về vị trí của một điểm uốn phổ quát.</w:t>
      </w:r>
    </w:p>
    <w:bookmarkEnd w:id="217"/>
    <w:bookmarkStart w:id="218"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lại,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gradient trơn mà như ba vùng rời rạc. Ở giữa gradient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tan rã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218"/>
    <w:bookmarkStart w:id="219"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chặt chẽ ở từng vùng dù được ước lượng trên các mẫu, công cụ khảo sát và đặc tả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mạnh rằng điểm uốn vùng giữa là một quy luật cấu trúc chứ không phải tạo tác của một mẫu đơn lẻ.</w:t>
      </w:r>
    </w:p>
    <w:p>
      <w:pPr>
        <w:pStyle w:val="BodyText"/>
      </w:pPr>
      <w:r>
        <w:t xml:space="preserve">Ở biên trên của gradient,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p>
      <w:r>
        <w:pict>
          <v:rect style="width:0;height:1.5pt" o:hralign="center" o:hrstd="t" o:hr="t"/>
        </w:pict>
      </w:r>
    </w:p>
    <w:bookmarkEnd w:id="219"/>
    <w:bookmarkEnd w:id="220"/>
    <w:bookmarkStart w:id="228" w:name="X42f69945b56833cca239d45dc5864a7be6f74d7"/>
    <w:p>
      <w:pPr>
        <w:pStyle w:val="Heading2"/>
      </w:pPr>
      <w:r>
        <w:t xml:space="preserve">4.7 Kết quả trường hợp biên SIDS: Các nền kinh tế đảo nhỏ đang phát triển (P8)</w:t>
      </w:r>
    </w:p>
    <w:bookmarkStart w:id="221"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Mẫu phân tích, gồm các quan sát có đủ giá trị về năng suất lao động, cường độ xuất khẩu và tuổi doanh nghiệp, có tổng</w:t>
      </w:r>
      <w:r>
        <w:t xml:space="preserve"> </w:t>
      </w:r>
      <m:oMath>
        <m:r>
          <m:t>N</m:t>
        </m:r>
        <m:r>
          <m:rPr>
            <m:sty m:val="p"/>
          </m:rPr>
          <m:t>=</m:t>
        </m:r>
        <m:r>
          <m:t>959</m:t>
        </m:r>
      </m:oMath>
      <w:r>
        <w:t xml:space="preserve"> </w:t>
      </w:r>
      <w:r>
        <w:t xml:space="preserve">doanh nghiệp, trong đó chỉ 132 doanh nghiệp (13,8% mẫu) có xuất khẩu với cường độ dương. Cường độ xuất khẩu trung bình rất thấp, ở mức 0,048 (tức 4,8%),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221"/>
    <w:bookmarkStart w:id="222" w:name="X3a91aba158adfa801f2fab61c6136ac64b479c6"/>
    <w:p>
      <w:pPr>
        <w:pStyle w:val="Heading3"/>
      </w:pPr>
      <w:r>
        <w:t xml:space="preserve">4.7.2 Hiệu ứng âm đơn điệu: Hình phạt quốc tế hóa cưỡng bức (FIP)</w:t>
      </w:r>
    </w:p>
    <w:p>
      <w:pPr>
        <w:pStyle w:val="FirstParagraph"/>
      </w:pPr>
      <w:r>
        <w:t xml:space="preserve">Đây là phát hiện nổi bật nhất và khác biệt nhất của luận án so với toàn bộ kết quả từ các bối cảnh ICRV khác. Mô hình M1 với country hiệu ứng cố định và year hiệu ứng cố định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r>
            <m:rPr>
              <m:sty m:val="p"/>
            </m:rPr>
            <m:t>,</m:t>
          </m:r>
          <m:r>
            <m:t> </m:t>
          </m:r>
          <m:r>
            <m:t>S</m:t>
          </m:r>
          <m:r>
            <m:t>E</m:t>
          </m:r>
          <m:r>
            <m:rPr>
              <m:sty m:val="p"/>
            </m:rPr>
            <m:t>=</m:t>
          </m:r>
          <m:r>
            <m:t>0</m:t>
          </m:r>
          <m:r>
            <m:rPr>
              <m:sty m:val="p"/>
            </m:rPr>
            <m:t>,</m:t>
          </m:r>
          <m:r>
            <m:t>386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quan hệ âm đơn điệu. Trong mẫu chỉ gồm doanh nghiệp xuất khẩu (exporters-only, N = 26, rất nhỏ), hệ số vẫn âm nhưng không đạt ý nghĩa thống kê (thiếu công suất):</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176</m:t>
          </m:r>
          <m:r>
            <m:rPr>
              <m:sty m:val="p"/>
            </m:rPr>
            <m:t>,</m:t>
          </m:r>
          <m:r>
            <m:t> </m:t>
          </m:r>
          <m:r>
            <m:t>p</m:t>
          </m:r>
          <m:r>
            <m:rPr>
              <m:sty m:val="p"/>
            </m:rPr>
            <m:t>=</m:t>
          </m:r>
          <m:r>
            <m:rPr>
              <m:sty m:val="p"/>
            </m:rPr>
            <m:t>,</m:t>
          </m:r>
          <m:r>
            <m:t>130</m:t>
          </m:r>
          <m:r>
            <m:t> </m:t>
          </m:r>
          <m:d>
            <m:dPr>
              <m:begChr m:val="("/>
              <m:endChr m:val=")"/>
              <m:sepChr m:val=""/>
              <m:grow/>
            </m:dPr>
            <m:e>
              <m:r>
                <m:rPr>
                  <m:nor/>
                  <m:sty m:val="p"/>
                </m:rPr>
                <m:t>NS</m:t>
              </m:r>
            </m:e>
          </m:d>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không có điểm uốn trong phạm vi dữ liệu.</w:t>
      </w:r>
    </w:p>
    <w:bookmarkEnd w:id="222"/>
    <w:bookmarkStart w:id="223"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văn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lần đầu tiên được ghi nhận và đặt tên trong văn liệu quốc tế hóa–hiệu quả doanh nghiệp cho khu vực Thái Bình Dương.</w:t>
      </w:r>
    </w:p>
    <w:bookmarkEnd w:id="223"/>
    <w:bookmarkStart w:id="224"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224"/>
    <w:bookmarkStart w:id="225"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225"/>
    <w:bookmarkStart w:id="226"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chữ ký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226"/>
    <w:bookmarkStart w:id="227" w:name="Xe1a17f66d148450e4340ea430e2b38d3bcbda19"/>
    <w:p>
      <w:pPr>
        <w:pStyle w:val="Heading3"/>
      </w:pPr>
      <w:r>
        <w:t xml:space="preserve">4.7.7 Độ bền của hệ số FIP qua các đặc tả và cơ chế năng lực không điều tiết</w:t>
      </w:r>
    </w:p>
    <w:p>
      <w:pPr>
        <w:pStyle w:val="FirstParagraph"/>
      </w:pPr>
      <w:r>
        <w:t xml:space="preserve">Hệ số FIP duy trì dấu âm và quy mô đáng kể qua một chuỗi đặc tả độ vững, củng cố tính cấu trúc của phát hiện.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đặc tả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p>
      <w:r>
        <w:pict>
          <v:rect style="width:0;height:1.5pt" o:hralign="center" o:hrstd="t" o:hr="t"/>
        </w:pict>
      </w:r>
    </w:p>
    <w:bookmarkEnd w:id="227"/>
    <w:bookmarkEnd w:id="228"/>
    <w:bookmarkStart w:id="237"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Tầng 1 (trang web) chung cho cả ba đợt, WBES BREADY cung cấp thêm chỉ báo Tầng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Tầng 2 với cường độ xuất khẩu lại âm và có ý nghĩa thống kê:</w:t>
      </w:r>
      <w:r>
        <w:t xml:space="preserve"> </w:t>
      </w:r>
      <m:oMath>
        <m:r>
          <m:rPr>
            <m:nor/>
            <m:sty m:val="p"/>
          </m:rPr>
          <m:t>FSTS</m:t>
        </m:r>
        <m:r>
          <m:rPr>
            <m:sty m:val="p"/>
          </m:rPr>
          <m:t>×</m:t>
        </m:r>
        <m:sSub>
          <m:e>
            <m:r>
              <m:rPr>
                <m:nor/>
                <m:sty m:val="p"/>
              </m:rPr>
              <m:t>DAI</m:t>
            </m:r>
          </m:e>
          <m:sub>
            <m:r>
              <m:t>T</m:t>
            </m:r>
            <m:r>
              <m:t>ầ</m:t>
            </m:r>
            <m:r>
              <m:t>n</m:t>
            </m:r>
            <m:r>
              <m:t>g</m:t>
            </m:r>
            <m:r>
              <m:t>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229"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Tầng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Tầng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229"/>
    <w:bookmarkStart w:id="230" w:name="X69aa24b46cd6147ff623b8d98152029170b54c6"/>
    <w:p>
      <w:pPr>
        <w:pStyle w:val="Heading3"/>
      </w:pPr>
      <w:r>
        <w:t xml:space="preserve">4.8.2 Đặc tả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wave</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wave</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wave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wave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Đặc tả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230"/>
    <w:bookmarkStart w:id="231"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đặc tả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Tầng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Tầng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231"/>
    <w:bookmarkStart w:id="232"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đặc tả là tuyến tính thay vì bậc hai.</w:t>
      </w:r>
    </w:p>
    <w:p>
      <w:pPr>
        <w:pStyle w:val="BodyText"/>
      </w:pPr>
      <w:r>
        <w:t xml:space="preserve">Kết quả xác nhận ba mệnh đề. Thứ nhất, mức độ quốc tế hóa tác động âm lên hiệu quả ở đặc tả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232"/>
    <w:bookmarkStart w:id="233"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233"/>
    <w:bookmarkStart w:id="234"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tan rã vào 2025; đặc tả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234"/>
    <w:bookmarkStart w:id="235"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tan rã.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đặc tả (R1, R2, R3b, R4) xác nhận mô thức định tính chữ U ngược hiện diện 2014–2022 rồi biến mất 2025; đặc tả thứ năm (R3a) xác nhận hiện diện 2022 và biến mất 2025.</w:t>
      </w:r>
    </w:p>
    <w:bookmarkEnd w:id="235"/>
    <w:bookmarkStart w:id="236"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đặc tả chính. Đối với tương tác UPI Tầng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(Tầng 2 lấn át Tầng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236"/>
    <w:bookmarkEnd w:id="237"/>
    <w:bookmarkStart w:id="241"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238"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đặc tả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đặc tả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đặc tả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đặc tả số hạng bậc hai vô nghĩa. Riêng đặc tả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bức tranh ba vùng của gradient thể chế: chữ U ngược ở các chế độ chuyển đổi, gần tuyến tính ở biên trên, tan rã ở biên dưới.</w:t>
      </w:r>
    </w:p>
    <w:bookmarkEnd w:id="238"/>
    <w:bookmarkStart w:id="239"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Tầng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239"/>
    <w:bookmarkStart w:id="240"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gradient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240"/>
    <w:bookmarkEnd w:id="241"/>
    <w:bookmarkStart w:id="242"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gradient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văn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Tầng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242"/>
    <w:bookmarkStart w:id="243"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biến công cụ)</w:t>
            </w:r>
          </w:p>
        </w:tc>
        <w:tc>
          <w:tcPr/>
          <w:p>
            <w:pPr>
              <w:pStyle w:val="Compact"/>
              <w:jc w:val="left"/>
            </w:pPr>
            <w:r>
              <w:t xml:space="preserve">không có ý nghĩa (Tầng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4.559</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(châu Á)</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959</w:t>
            </w:r>
          </w:p>
        </w:tc>
        <w:tc>
          <w:tcPr/>
          <w:p>
            <w:pPr>
              <w:pStyle w:val="Compact"/>
              <w:jc w:val="left"/>
            </w:pPr>
            <w:r>
              <w:t xml:space="preserve">âm đơn điệu (FIP)</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β(FSTS)=−1,339***</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Tầng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đặc tả).</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quan hệ âm đơn điệu tại các nền đảo nhỏ (P8, FIP),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gradient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không có ý nghĩa tại Việt Nam (Tầng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−0,088, p=,026; tương tác FSTS không ý nghĩa); hiệu ứng phụ thuộc bối cảnh</w:t>
            </w:r>
          </w:p>
        </w:tc>
      </w:tr>
      <w:tr>
        <w:tc>
          <w:tcPr/>
          <w:p>
            <w:pPr>
              <w:pStyle w:val="Compact"/>
              <w:jc w:val="left"/>
            </w:pPr>
            <w:r>
              <w:t xml:space="preserve">H5 (ICRV gradient)</w:t>
            </w:r>
          </w:p>
        </w:tc>
        <w:tc>
          <w:tcPr/>
          <w:p>
            <w:pPr>
              <w:pStyle w:val="Compact"/>
              <w:jc w:val="left"/>
            </w:pPr>
            <w:r>
              <w:t xml:space="preserve">Thể chế điều tiết gradient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Quan hệ âm đơn điệu tại SIDS</w:t>
            </w:r>
          </w:p>
        </w:tc>
        <w:tc>
          <w:tcPr/>
          <w:p>
            <w:pPr>
              <w:pStyle w:val="Compact"/>
              <w:jc w:val="left"/>
            </w:pPr>
            <w:r>
              <w:t xml:space="preserve">Xác nhận:</w:t>
            </w:r>
            <w:r>
              <w:t xml:space="preserve"> </w:t>
            </w:r>
            <m:oMath>
              <m:r>
                <m:t>β</m:t>
              </m:r>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(M1, country+year FE) đến</w:t>
            </w:r>
            <w:r>
              <w:t xml:space="preserve"> </w:t>
            </w:r>
            <m:oMath>
              <m:r>
                <m:rPr>
                  <m:sty m:val="p"/>
                </m:rPr>
                <m:t>−</m:t>
              </m:r>
              <m:r>
                <m:t>3</m:t>
              </m:r>
              <m:r>
                <m:rPr>
                  <m:sty m:val="p"/>
                </m:rPr>
                <m:t>,</m:t>
              </m:r>
              <m:sSup>
                <m:e>
                  <m:r>
                    <m:t>351</m:t>
                  </m:r>
                </m:e>
                <m:sup>
                  <m:r>
                    <m:rPr>
                      <m:sty m:val="p"/>
                    </m:rPr>
                    <m:t>*</m:t>
                  </m:r>
                  <m:r>
                    <m:rPr>
                      <m:sty m:val="p"/>
                    </m:rPr>
                    <m:t>*</m:t>
                  </m:r>
                  <m:r>
                    <m:rPr>
                      <m:sty m:val="p"/>
                    </m:rPr>
                    <m:t>*</m:t>
                  </m:r>
                </m:sup>
              </m:sSup>
            </m:oMath>
            <w:r>
              <w:t xml:space="preserve"> </w:t>
            </w:r>
            <w:r>
              <w:t xml:space="preserve">(year-FE); chỉ doanh nghiệp xuất khẩu NS do mẫu nhỏ (N=26)</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Tầng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r>
        <w:pict>
          <v:rect style="width:0;height:1.5pt" o:hralign="center" o:hrstd="t" o:hr="t"/>
        </w:pict>
      </w:r>
    </w:p>
    <w:bookmarkEnd w:id="243"/>
    <w:bookmarkStart w:id="244"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thị trường mới nổi: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244"/>
    <w:bookmarkStart w:id="245" w:name="chương-5-kết-luận-và-đề-xuất"/>
    <w:p>
      <w:pPr>
        <w:pStyle w:val="Heading1"/>
      </w:pPr>
      <w:r>
        <w:t xml:space="preserve">CHƯƠNG 5: KẾT LUẬN VÀ ĐỀ XUẤT</w:t>
      </w:r>
    </w:p>
    <w:bookmarkEnd w:id="245"/>
    <w:p>
      <w:r>
        <w:pict>
          <v:rect style="width:0;height:1.5pt" o:hralign="center" o:hrstd="t" o:hr="t"/>
        </w:pict>
      </w:r>
    </w:p>
    <w:bookmarkStart w:id="246"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46"/>
    <w:bookmarkStart w:id="254" w:name="Xff8cef3ed320f9cf6f3fba4ff558bfed3af19c6"/>
    <w:p>
      <w:pPr>
        <w:pStyle w:val="Heading2"/>
      </w:pPr>
      <w:r>
        <w:t xml:space="preserve">5.1 Bàn luận kết quả theo khung lý thuyết CDCM</w:t>
      </w:r>
    </w:p>
    <w:bookmarkStart w:id="247"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gradient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 H5 và tầng thể chế của khung lý thuyết CDCM theo một cách thuyết phục nhất: không phải chỉ một biến điều tiết đơn lẻ mà là</w:t>
      </w:r>
      <w:r>
        <w:t xml:space="preserve"> </w:t>
      </w:r>
      <w:r>
        <w:rPr>
          <w:bCs/>
          <w:b/>
        </w:rPr>
        <w:t xml:space="preserve">cả một chế độ thể chế</w:t>
      </w:r>
      <w:r>
        <w:t xml:space="preserve">, được vận hành hóa thành sáu chế độ con ICRV, xác định điều kiện biên cho quan hệ quốc tế hóa và hiệu quả. lý thuyết thể chế của North (1990) và Khanna và Palepu (2010) dự đoán rằng thể chế định hình chi phí giao dịch và cấu trúc khuyến khích; kết quả ICRV gradient là biểu hiện thực nghiệm của cơ chế này ở quy mô 50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gradient: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47"/>
    <w:bookmarkStart w:id="248" w:name="tci-là-năng-lực-nền-tảng-xác-nhận-h2"/>
    <w:p>
      <w:pPr>
        <w:pStyle w:val="Heading3"/>
      </w:pPr>
      <w:r>
        <w:t xml:space="preserve">5.1.2 TCI là Năng Lực Nền Tảng: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48"/>
    <w:bookmarkStart w:id="249"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Tầng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Tầng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Tầng 1 DAI (website, email, online sales) chưa nắm bắt được chiều sâu của năng lực số. Khi DAI được đo bằng Tầng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digital capability</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49"/>
    <w:bookmarkStart w:id="250"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50"/>
    <w:bookmarkStart w:id="251"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M1 với hiệu ứng cố định quốc gia và năm; trong mẫu phụ chỉ gồm doanh nghiệp xuất khẩu, hệ số vẫn âm nhưng không ý nghĩa do N = 26)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điểm uốn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văn liệu về quan hệ quốc tế hóa và hiệu quả.</w:t>
      </w:r>
    </w:p>
    <w:p>
      <w:r>
        <w:pict>
          <v:rect style="width:0;height:1.5pt" o:hralign="center" o:hrstd="t" o:hr="t"/>
        </w:pict>
      </w:r>
    </w:p>
    <w:bookmarkEnd w:id="251"/>
    <w:bookmarkStart w:id="252"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Tầng 2 thay thế Tầng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252"/>
    <w:bookmarkStart w:id="253" w:name="Xbffcbb2cefd87893b0a3903884b48c3b4587efe"/>
    <w:p>
      <w:pPr>
        <w:pStyle w:val="Heading3"/>
      </w:pPr>
      <w:r>
        <w:t xml:space="preserve">5.1.7 Tích hợp ba vùng của gradient thể chế: từ chữ U ngược đến tan rã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gradient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gradient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đặc tả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gradient (chế độ đang nổi và đảo nhỏ, Nhóm V và VI), quan hệ mất cấu trúc theo hai mức độ khác nhau. Tại Nhóm V, các hệ số không còn ý nghĩa thống kê và dạng hàm tan rã (P7). Tại Nhóm VI là các nền kinh tế đảo nhỏ, quan hệ không chỉ tan rã mà đảo hẳn sang âm đơn điệu, gánh nặng quốc tế hóa bắt buộc với hệ số −1,339 (p &lt; 0,001, P8).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gradient. Bằng chứng Việt Nam (P3) cho thấy độ cong toàn mẫu trong chế độ chuyển đổi được nhận diện chủ yếu qua biên tham gia, tức bước nhảy năng suất khi doanh nghiệp chuyển từ không xuất khẩu sang xuất khẩu (H1a), chứ không qua độ cong cường độ trong nhóm doanh nghiệp đã xuất khẩu (H1b);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53"/>
    <w:bookmarkEnd w:id="254"/>
    <w:bookmarkStart w:id="262" w:name="so-sánh-với-nghiên-cứu-trước-đây"/>
    <w:p>
      <w:pPr>
        <w:pStyle w:val="Heading2"/>
      </w:pPr>
      <w:r>
        <w:t xml:space="preserve">5.2 So sánh với nghiên cứu trước đây</w:t>
      </w:r>
    </w:p>
    <w:bookmarkStart w:id="255"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dị biệt trong văn liệu, vấn đề chủ yếu là</w:t>
      </w:r>
      <w:r>
        <w:t xml:space="preserve"> </w:t>
      </w:r>
      <w:r>
        <w:rPr>
          <w:bCs/>
          <w:b/>
        </w:rPr>
        <w:t xml:space="preserve">đo lường bên trong nghiên cứu</w:t>
      </w:r>
      <w:r>
        <w:t xml:space="preserve">, không phải sự bất đồng căn bản giữa các nghiên cứu.</w:t>
      </w:r>
    </w:p>
    <w:bookmarkEnd w:id="255"/>
    <w:bookmarkStart w:id="256"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FIP tại SIDS, không phải là đường cong chữ S hay chữ U ngược mà là quan hệ âm đơn điệu, điều mà cả ba-stage theory lẫn đường cong chữ S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văn liệu Lu và Beamish.</w:t>
      </w:r>
    </w:p>
    <w:bookmarkEnd w:id="256"/>
    <w:bookmarkStart w:id="257"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văn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gradient thể chế.</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257"/>
    <w:bookmarkStart w:id="258"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tan rã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văn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bookmarkEnd w:id="258"/>
    <w:bookmarkStart w:id="259"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chế độ thể chế ICRV là biến điều tiết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259"/>
    <w:bookmarkStart w:id="260"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văn liệu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đặc tả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Nói cách khác,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260"/>
    <w:bookmarkStart w:id="261" w:name="X6ee9a26b8d3562d8417b9de6789ce7031eb4dd3"/>
    <w:p>
      <w:pPr>
        <w:pStyle w:val="Heading3"/>
      </w:pPr>
      <w:r>
        <w:t xml:space="preserve">5.2.7 Đặt vào dòng văn liệu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văn liệu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doanh nghiệp ở các nền kinh tế mới nổi, trong đó tính động công nghệ tạo tương tác dương còn tính động thị trường tạo tương tác âm. Bằng chứng gradient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văn liệu mới nổi về năng lực số như đòn bẩy quốc tế hóa cho doanh nghiệp nhỏ và vừa trong môi trường thể chế kém hoàn thiện (Bustamante và cộng sự, 2022; Banalieva &amp; Dhanaraj, 2019),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261"/>
    <w:bookmarkEnd w:id="262"/>
    <w:bookmarkStart w:id="270" w:name="đóng-góp-lý-thuyết-1"/>
    <w:p>
      <w:pPr>
        <w:pStyle w:val="Heading2"/>
      </w:pPr>
      <w:r>
        <w:t xml:space="preserve">5.3 Đóng góp lý thuyết</w:t>
      </w:r>
    </w:p>
    <w:bookmarkStart w:id="263"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văn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63"/>
    <w:bookmarkStart w:id="264"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văn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+0,26 đến +0,43; toàn mẫu 50 nền +0,141; Nhật Bản +0,100; SIDS +0,299), trong khi các tương tác uốn đường cong với cường độ xuất khẩu không đạt ý nghĩa thống kê trên toàn mẫu và chỉ định hình ở một bối cảnh đơn quốc gia. Ngay cả tại SIDS, nơi quan hệ tổng thể là âm đơn điệu, năng lực công nghệ vẫn nâng mặt bằng năng suất nhưng không thể uốn độ dốc âm sang vùng dương,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Văn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264"/>
    <w:bookmarkStart w:id="265"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văn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w:t>
      </w:r>
    </w:p>
    <w:p>
      <w:pPr>
        <w:pStyle w:val="BodyText"/>
      </w:pPr>
      <w:r>
        <w:t xml:space="preserve">Giá trị khái niệm của FIP được làm rõ qua việc phân biệt nó với bốn cấu trúc lân cận trong văn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văn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văn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265"/>
    <w:bookmarkStart w:id="266"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văn liệu hiện tại.</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điểm uốn của quan hệ quốc tế hóa và hiệu quả</w:t>
      </w:r>
      <w:r>
        <w:t xml:space="preserve"> </w:t>
      </w:r>
      <w:r>
        <w:rPr>
          <w:bCs/>
          <w:b/>
        </w:rPr>
        <w:t xml:space="preserve">giảm</w:t>
      </w:r>
      <w:r>
        <w:t xml:space="preserve"> </w:t>
      </w:r>
      <w:r>
        <w:t xml:space="preserve">đơn điệu theo chiều ba vùng, với chữ U ngược định hình ở vùng giữa gradient (Nhóm IV, 43,0%), duỗi thẳng ở biên trên và tan rã ở biên dưới; thể chế càng mạnh, doanh nghiệp đạt đỉnh hiệu quả ở mức quốc tế hóa thấp hơn, xác nhận giá trị dự đoán của phân loại.</w:t>
      </w:r>
    </w:p>
    <w:p>
      <w:r>
        <w:pict>
          <v:rect style="width:0;height:1.5pt" o:hralign="center" o:hrstd="t" o:hr="t"/>
        </w:pict>
      </w:r>
    </w:p>
    <w:bookmarkEnd w:id="266"/>
    <w:bookmarkStart w:id="267"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Tầng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văn liệu về vai trò của thể chế công trong chuyển đổi số doanh nghiệp.</w:t>
      </w:r>
    </w:p>
    <w:bookmarkEnd w:id="267"/>
    <w:bookmarkStart w:id="268"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tan rã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bức tranh liên tục từ chữ U ngược đến tan rã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268"/>
    <w:bookmarkStart w:id="269" w:name="Xc3dc829c9666f9a37bdea499555b18a0609b2ac"/>
    <w:p>
      <w:pPr>
        <w:pStyle w:val="Heading3"/>
      </w:pPr>
      <w:r>
        <w:t xml:space="preserve">5.3.6 Hàm ý phương pháp luận cho nghiên cứu phi tuyến đa bối cảnh</w:t>
      </w:r>
    </w:p>
    <w:p>
      <w:pPr>
        <w:pStyle w:val="FirstParagraph"/>
      </w:pPr>
      <w:r>
        <w:t xml:space="preserve">Đóng góp lý thuyết thứ sáu mang tính phương pháp luận và có hệ quả vượt ra ngoài chủ đề quốc tế hóa và hiệu quả. Luận án minh họa cụ thể một vấn đề mà văn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269"/>
    <w:bookmarkEnd w:id="270"/>
    <w:bookmarkStart w:id="279" w:name="đề-xuất-chính-sách-và-quản-trị"/>
    <w:p>
      <w:pPr>
        <w:pStyle w:val="Heading2"/>
      </w:pPr>
      <w:r>
        <w:t xml:space="preserve">5.4 Đề xuất chính sách và quản trị</w:t>
      </w:r>
    </w:p>
    <w:bookmarkStart w:id="271"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71"/>
    <w:bookmarkStart w:id="272"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4"/>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4"/>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4"/>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4"/>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72"/>
    <w:bookmarkStart w:id="273"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273"/>
    <w:bookmarkStart w:id="274"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Tầng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74"/>
    <w:bookmarkStart w:id="275"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quan hệ tan rã hoặc đảo sang âm đơn điệu,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275"/>
    <w:bookmarkStart w:id="276" w:name="X94c43498f06ecb7abaaed75113bae3686126e0f"/>
    <w:p>
      <w:pPr>
        <w:pStyle w:val="Heading3"/>
      </w:pPr>
      <w:r>
        <w:t xml:space="preserve">5.4.6 Quy tắc quyết định cho nhà quản trị doanh nghiệp theo vị trí thể chế</w:t>
      </w:r>
    </w:p>
    <w:p>
      <w:pPr>
        <w:pStyle w:val="FirstParagraph"/>
      </w:pP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tan rã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bookmarkEnd w:id="276"/>
    <w:bookmarkStart w:id="277" w:name="Xfbac78e10081884d51e43be54dacc466d8cff43"/>
    <w:p>
      <w:pPr>
        <w:pStyle w:val="Heading3"/>
      </w:pPr>
      <w:r>
        <w:t xml:space="preserve">5.4.7 Đề xuất cho các tổ chức phát triển và tài trợ quốc tế</w:t>
      </w:r>
    </w:p>
    <w:p>
      <w:pPr>
        <w:pStyle w:val="FirstParagraph"/>
      </w:pP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văn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277"/>
    <w:bookmarkStart w:id="278" w:name="Xe0db8e28cf03dc8a65a6387c8f4ba9208afb8a3"/>
    <w:p>
      <w:pPr>
        <w:pStyle w:val="Heading3"/>
      </w:pPr>
      <w:r>
        <w:t xml:space="preserve">5.4.8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278"/>
    <w:bookmarkEnd w:id="279"/>
    <w:bookmarkStart w:id="289" w:name="hạn-chế-và-hướng-nghiên-cứu-tương-lai"/>
    <w:p>
      <w:pPr>
        <w:pStyle w:val="Heading2"/>
      </w:pPr>
      <w:r>
        <w:t xml:space="preserve">5.5 Hạn chế và hướng nghiên cứu tương lai</w:t>
      </w:r>
    </w:p>
    <w:bookmarkStart w:id="280"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Tầng 1 DAI (website, email, online sales) được sử dụng do hạn chế của các làn sóng 2009 và 2015, trong khi Tầng 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tĩnh</w:t>
      </w:r>
      <w:r>
        <w:t xml:space="preserve">, tức tại một thời điểm khảo sát, không thể nắm bắt tính động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lý thuyết năng lực động (Teece et al., 1997).</w:t>
      </w:r>
    </w:p>
    <w:bookmarkEnd w:id="280"/>
    <w:bookmarkStart w:id="281"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281"/>
    <w:bookmarkStart w:id="282"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282"/>
    <w:bookmarkStart w:id="283"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Tầng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Tầng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Tầng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Tầng 1 chứ không phải sự vắng mặt của cơ chế. Hạn chế này có hệ quả trực tiếp: các kết luận về DAI ở những bối cảnh chỉ đo được Tầng 1 nên được hiểu là chưa kết luận hơn là bác bỏ, và việc kiểm định lại với thước đo Tầng 2 và Tầng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283"/>
    <w:bookmarkStart w:id="284"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bookmarkEnd w:id="284"/>
    <w:bookmarkStart w:id="285"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Về phía hiệu quả, luận án dùng năng suất lao động dạng logarit, một thước đo vận hành mạnh nhưng hẹp hơn so với các thước đo hiệu quả đa chiều (lợi nhuận, tăng trưởng, giá trị thị trường) mà văn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285"/>
    <w:bookmarkStart w:id="286"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2003–2025 mà phân loại tĩnh không nắm bắt được. Thứ hai, bản thân các chỉ số thể chế nền tảng dùng để xây dựng ICRV là các đại lượng đo lường gián tiếp với sai số riêng, và một bộ phận doanh nghiệp trong pool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gradient thể chế chứ không phải một thang đo chính xác tuyệt đối.</w:t>
      </w:r>
    </w:p>
    <w:bookmarkEnd w:id="286"/>
    <w:bookmarkStart w:id="287"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287"/>
    <w:bookmarkStart w:id="288"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(Tầng 2 và Tầng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module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gradient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gradient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gradient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288"/>
    <w:bookmarkEnd w:id="289"/>
    <w:bookmarkStart w:id="294" w:name="kết-luận"/>
    <w:p>
      <w:pPr>
        <w:pStyle w:val="Heading2"/>
      </w:pPr>
      <w:r>
        <w:t xml:space="preserve">5.6 Kết luận</w:t>
      </w:r>
    </w:p>
    <w:bookmarkStart w:id="290"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15"/>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15"/>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15"/>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15"/>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15"/>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5"/>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5"/>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tan rã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15"/>
        </w:numPr>
      </w:pPr>
      <w:r>
        <w:rPr>
          <w:bCs/>
          <w:b/>
        </w:rPr>
        <w:t xml:space="preserve">P8</w:t>
      </w:r>
      <w:r>
        <w:t xml:space="preserve">: phân tích bảy nền kinh tế đảo nhỏ đang phát triển Thái Bình Dương,</w:t>
      </w:r>
      <w:r>
        <w:t xml:space="preserve"> </w:t>
      </w:r>
      <m:oMath>
        <m:r>
          <m:t>N</m:t>
        </m:r>
        <m:r>
          <m:rPr>
            <m:sty m:val="p"/>
          </m:rPr>
          <m:t>=</m:t>
        </m:r>
        <m:r>
          <m:t>959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xác nhận hình phạt quốc tế hóa cưỡng bức, quan hệ âm đơn điệu không có điểm uốn.</w:t>
      </w:r>
    </w:p>
    <w:p>
      <w:pPr>
        <w:numPr>
          <w:ilvl w:val="0"/>
          <w:numId w:val="1015"/>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Tầng 2 (UPI) âm, bằng chứng đầu tiên rằng chuyển đổi thể chế cực mạnh có thể hòa tan chứ không chỉ dịch chuyển ngưỡng.</w:t>
      </w:r>
    </w:p>
    <w:p>
      <w:pPr>
        <w:numPr>
          <w:ilvl w:val="0"/>
          <w:numId w:val="1015"/>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15"/>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290"/>
    <w:bookmarkStart w:id="291"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ở vùng giữa gradient thể chế, duỗi thẳng ở biên trên và tan rã ở biên dưới, thể chế càng mạnh, điểm uốn càng sớm (FSTS thấp hơn).</w:t>
      </w:r>
    </w:p>
    <w:bookmarkEnd w:id="291"/>
    <w:bookmarkStart w:id="292"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văn liệu về quốc tế hóa và hiệu quả bằng cách phân tách cấu trúc dị biệt và xác định ICRV như biến điều tiết có ý nghĩa; (ii) văn liệu về digital capability bằng cách làm rõ DAI là nguồn lực tình huống chứ không phải năng lực nền tảng; và (iii) văn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292"/>
    <w:bookmarkStart w:id="293"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p>
      <w:r>
        <w:br w:type="page"/>
      </w:r>
    </w:p>
    <w:bookmarkEnd w:id="293"/>
    <w:bookmarkEnd w:id="294"/>
    <w:bookmarkStart w:id="332"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thành</w:t>
      </w:r>
      <w:r>
        <w:t xml:space="preserve"> </w:t>
      </w:r>
      <w:r>
        <w:t xml:space="preserve">“</w:t>
      </w:r>
      <w:r>
        <w:t xml:space="preserve">World Bank Enterprise Surveys (2025)</w:t>
      </w:r>
      <w:r>
        <w:t xml:space="preserve">”</w:t>
      </w:r>
      <w:r>
        <w:t xml:space="preserve"> </w:t>
      </w:r>
      <w:r>
        <w:t xml:space="preserve">theo APA 7th Mục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tác động tới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Mục 1.1 và Mục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Mục 1 (SIDS development lag) và Mục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dẫn đến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Mục 5 (Agarwal + Barattieri), P8 Mục 1 (Mahler et al. 2026b), CD2 Mục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RESOLVED Audit Warning 1 v2.4</w:t>
      </w:r>
      <w:r>
        <w:t xml:space="preserve">: Lin &amp; Beamish (2005) thành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295"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295"/>
    <w:bookmarkStart w:id="296" w:name="X094bc8b13169a81669f6b7abcf887888d4186ca"/>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RESOLVED v2.5 — Audit Warning 1</w:t>
      </w:r>
      <w:r>
        <w:t xml:space="preserve">: Lin &amp; Beamish (2005) thành Lu &amp; Beamish (2004) replacement đã hoàn tất trong file 14 v3.8 (commit e2f8415, 07/05/2026): 4 occurrences trong Mục 1.1, Mục 2.6, Bảng 2.6.1 đã updated. Lu &amp; Beamish (2004) AMJ S-curve DOI 10.2307/20159604 đã có sẵn Section B từ v2.1.</w:t>
      </w:r>
    </w:p>
    <w:bookmarkEnd w:id="296"/>
    <w:bookmarkStart w:id="297"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297"/>
    <w:bookmarkStart w:id="298" w:name="Xb02f9563701139be84b359c2d25884190ee9110"/>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r>
        <w:t xml:space="preserve"> </w:t>
      </w: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298"/>
    <w:bookmarkStart w:id="299"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299"/>
    <w:bookmarkStart w:id="300"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300"/>
    <w:bookmarkStart w:id="301"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301"/>
    <w:bookmarkStart w:id="302" w:name="h.-firm-performance-đa-chiều"/>
    <w:p>
      <w:pPr>
        <w:pStyle w:val="Heading2"/>
      </w:pPr>
      <w:r>
        <w:t xml:space="preserve">H. Firm performance đa chiều</w:t>
      </w:r>
    </w:p>
    <w:p>
      <w:pPr>
        <w:pStyle w:val="FirstParagraph"/>
      </w:pPr>
      <w:r>
        <w:t xml:space="preserve">(Giữ nguyên từ v2.1.)</w:t>
      </w:r>
    </w:p>
    <w:bookmarkEnd w:id="302"/>
    <w:bookmarkStart w:id="303"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303"/>
    <w:bookmarkStart w:id="305"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Start w:id="304" w:name="X2fb57ded0f7cbc8f956c4aa51a273056f808ba8"/>
    <w:p>
      <w:pPr>
        <w:pStyle w:val="Heading3"/>
      </w:pPr>
      <w:r>
        <w:t xml:space="preserve">Bổ sung v3.2 — Phương pháp hợp nhất dữ liệu đa quốc gia (Phụ lục A)</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bookmarkEnd w:id="304"/>
    <w:bookmarkEnd w:id="305"/>
    <w:bookmarkStart w:id="306"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Mục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Mục 1.3 phạm vi không gian (47 nước châu Á phân loại theo income group) + Mục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đến mid-stream design/R&amp;D dựa trên 3 trụ cột Resilience + Environmental Sustainability + Inclusiveness. Cited Mục 1.1 lớp 6 update + Mục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đến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Mục 8.31; ước lượng 2023-2024. NCS verify trên trang IFC trước final. Cited Mục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306"/>
    <w:bookmarkStart w:id="307" w:name="Xde200f04073635a38db4cac94b8061369cfcb08"/>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307"/>
    <w:bookmarkStart w:id="308"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308"/>
    <w:bookmarkStart w:id="309"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309"/>
    <w:bookmarkStart w:id="310" w:name="X1ca9aa89636ad43de36398867e3fda3073628b0"/>
    <w:p>
      <w:pPr>
        <w:pStyle w:val="Heading2"/>
      </w:pPr>
      <w:r>
        <w:t xml:space="preserve">O. Văn bản pháp lý Việt Nam (cited trong CĐ1 Mục 7.3.3)</w:t>
      </w:r>
    </w:p>
    <w:p>
      <w:pPr>
        <w:pStyle w:val="FirstParagraph"/>
      </w:pPr>
      <w:r>
        <w:t xml:space="preserve">(Giữ nguyên từ v2.0 — 7 văn bản pháp lý + 8 hiệp định FTA.)</w:t>
      </w:r>
    </w:p>
    <w:bookmarkEnd w:id="310"/>
    <w:bookmarkStart w:id="311"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 đến $118/bbl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 107 datasets; per-capita income growth in LICs 2020–2025 below historical average; poorest quintile lost most ground since COVID-19 disruption.)</w:t>
      </w:r>
    </w:p>
    <w:p>
      <w:r>
        <w:pict>
          <v:rect style="width:0;height:1.5pt" o:hralign="center" o:hrstd="t" o:hr="t"/>
        </w:pict>
      </w:r>
    </w:p>
    <w:bookmarkEnd w:id="311"/>
    <w:bookmarkStart w:id="312"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 107 datasets ·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312"/>
    <w:bookmarkStart w:id="313"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313"/>
    <w:bookmarkStart w:id="314"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Mục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r>
        <w:t xml:space="preserve"> </w:t>
      </w: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r>
        <w:t xml:space="preserve"> </w:t>
      </w: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314"/>
    <w:bookmarkStart w:id="315"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đến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Mục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đến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Mục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đến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Mục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Mục 1 Introduction — structural developmental constraints cho Pacific SIDS FIP mechanism.)</w:t>
      </w:r>
    </w:p>
    <w:p>
      <w:r>
        <w:pict>
          <v:rect style="width:0;height:1.5pt" o:hralign="center" o:hrstd="t" o:hr="t"/>
        </w:pict>
      </w:r>
    </w:p>
    <w:bookmarkEnd w:id="315"/>
    <w:bookmarkStart w:id="319" w:name="hướng-dẫn-sử-dụng-cập-nhật-v2.5"/>
    <w:p>
      <w:pPr>
        <w:pStyle w:val="Heading2"/>
      </w:pPr>
      <w:r>
        <w:t xml:space="preserve">Hướng dẫn sử dụng (cập nhật v2.5)</w:t>
      </w:r>
    </w:p>
    <w:bookmarkStart w:id="316" w:name="trong-bản-thảo-luận-án"/>
    <w:p>
      <w:pPr>
        <w:pStyle w:val="Heading3"/>
      </w:pPr>
      <w:r>
        <w:t xml:space="preserve">Trong bản thảo luận án</w:t>
      </w:r>
    </w:p>
    <w:p>
      <w:pPr>
        <w:numPr>
          <w:ilvl w:val="0"/>
          <w:numId w:val="1016"/>
        </w:numPr>
        <w:pStyle w:val="Compact"/>
      </w:pPr>
      <w:r>
        <w:t xml:space="preserve">Dùng in-text citation theo author–date.</w:t>
      </w:r>
    </w:p>
    <w:p>
      <w:pPr>
        <w:numPr>
          <w:ilvl w:val="0"/>
          <w:numId w:val="1016"/>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16"/>
        </w:numPr>
        <w:pStyle w:val="Compact"/>
      </w:pPr>
      <w:r>
        <w:t xml:space="preserve">Trích dẫn công trình của tác giả luận án: dùng suffix năm chuẩn APA 7 —</w:t>
      </w:r>
      <w:r>
        <w:t xml:space="preserve"> </w:t>
      </w:r>
      <w:r>
        <w:t xml:space="preserve">“</w:t>
      </w:r>
      <w:r>
        <w:t xml:space="preserve">Do và Phan (2026a)</w:t>
      </w:r>
      <w:r>
        <w:t xml:space="preserve">”</w:t>
      </w:r>
      <w:r>
        <w:t xml:space="preserve">,</w:t>
      </w:r>
      <w:r>
        <w:t xml:space="preserve"> </w:t>
      </w:r>
      <w:r>
        <w:t xml:space="preserve">“</w:t>
      </w:r>
      <w:r>
        <w:t xml:space="preserve">Do và Phan (2026g)</w:t>
      </w:r>
      <w:r>
        <w:t xml:space="preserve">”</w:t>
      </w:r>
      <w:r>
        <w:t xml:space="preserve">, v.v. (P1=2026a, P2=2026g, P3=2026e, P5=2026f, P6=2026c, P7=2026d, P8=2026b; P4=Mar et al., 2026).</w:t>
      </w:r>
    </w:p>
    <w:p>
      <w:pPr>
        <w:numPr>
          <w:ilvl w:val="0"/>
          <w:numId w:val="1016"/>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16"/>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16"/>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16"/>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16"/>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16"/>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16"/>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16"/>
        </w:numPr>
        <w:pStyle w:val="Compact"/>
      </w:pPr>
      <w:r>
        <w:rPr>
          <w:bCs/>
          <w:b/>
        </w:rPr>
        <w:t xml:space="preserve">Trích dẫn Section P — Data360 Atlas (v2.6)</w:t>
      </w:r>
      <w:r>
        <w:t xml:space="preserve">:</w:t>
      </w:r>
    </w:p>
    <w:p>
      <w:pPr>
        <w:numPr>
          <w:ilvl w:val="1"/>
          <w:numId w:val="1017"/>
        </w:numPr>
        <w:pStyle w:val="Compact"/>
      </w:pPr>
      <w:r>
        <w:t xml:space="preserve">Internet access story:</w:t>
      </w:r>
      <w:r>
        <w:t xml:space="preserve"> </w:t>
      </w:r>
      <w:r>
        <w:t xml:space="preserve">“</w:t>
      </w:r>
      <w:r>
        <w:t xml:space="preserve">Pirlea &amp; Corso (2026)</w:t>
      </w:r>
      <w:r>
        <w:t xml:space="preserve">”</w:t>
      </w:r>
    </w:p>
    <w:p>
      <w:pPr>
        <w:numPr>
          <w:ilvl w:val="1"/>
          <w:numId w:val="1017"/>
        </w:numPr>
        <w:pStyle w:val="Compact"/>
      </w:pPr>
      <w:r>
        <w:t xml:space="preserve">AI inequality story:</w:t>
      </w:r>
      <w:r>
        <w:t xml:space="preserve"> </w:t>
      </w:r>
      <w:r>
        <w:t xml:space="preserve">“</w:t>
      </w:r>
      <w:r>
        <w:t xml:space="preserve">Mahler, Wang &amp; Weber (2026)</w:t>
      </w:r>
      <w:r>
        <w:t xml:space="preserve">”</w:t>
      </w:r>
    </w:p>
    <w:p>
      <w:pPr>
        <w:numPr>
          <w:ilvl w:val="1"/>
          <w:numId w:val="1017"/>
        </w:numPr>
        <w:pStyle w:val="Compact"/>
      </w:pPr>
      <w:r>
        <w:t xml:space="preserve">Atlas overview/statistics:</w:t>
      </w:r>
      <w:r>
        <w:t xml:space="preserve"> </w:t>
      </w:r>
      <w:r>
        <w:t xml:space="preserve">“</w:t>
      </w:r>
      <w:r>
        <w:t xml:space="preserve">Pirlea et al. (2026 — Atlas)</w:t>
      </w:r>
      <w:r>
        <w:t xml:space="preserve">”</w:t>
      </w:r>
    </w:p>
    <w:p>
      <w:pPr>
        <w:numPr>
          <w:ilvl w:val="1"/>
          <w:numId w:val="1017"/>
        </w:numPr>
        <w:pStyle w:val="Compact"/>
      </w:pPr>
      <w:r>
        <w:t xml:space="preserve">Commodity markets blog:</w:t>
      </w:r>
      <w:r>
        <w:t xml:space="preserve"> </w:t>
      </w:r>
      <w:r>
        <w:t xml:space="preserve">“</w:t>
      </w:r>
      <w:r>
        <w:t xml:space="preserve">Agnolucci, Kenworthy &amp; Kose (2026)</w:t>
      </w:r>
      <w:r>
        <w:t xml:space="preserve">”</w:t>
      </w:r>
    </w:p>
    <w:p>
      <w:pPr>
        <w:numPr>
          <w:ilvl w:val="1"/>
          <w:numId w:val="1017"/>
        </w:numPr>
        <w:pStyle w:val="Compact"/>
      </w:pPr>
      <w:r>
        <w:t xml:space="preserve">AI financial supervision G20:</w:t>
      </w:r>
      <w:r>
        <w:t xml:space="preserve"> </w:t>
      </w:r>
      <w:r>
        <w:t xml:space="preserve">“</w:t>
      </w:r>
      <w:r>
        <w:t xml:space="preserve">Boeddu et al. (2025)</w:t>
      </w:r>
      <w:r>
        <w:t xml:space="preserve">”</w:t>
      </w:r>
    </w:p>
    <w:p>
      <w:pPr>
        <w:numPr>
          <w:ilvl w:val="0"/>
          <w:numId w:val="1016"/>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16"/>
        </w:numPr>
        <w:pStyle w:val="Compact"/>
      </w:pPr>
      <w:r>
        <w:rPr>
          <w:bCs/>
          <w:b/>
        </w:rPr>
        <w:t xml:space="preserve">Trích dẫn Section Q — Singapore ecosystem (v2.7)</w:t>
      </w:r>
      <w:r>
        <w:t xml:space="preserve">:</w:t>
      </w:r>
    </w:p>
    <w:p>
      <w:pPr>
        <w:numPr>
          <w:ilvl w:val="1"/>
          <w:numId w:val="1018"/>
        </w:numPr>
        <w:pStyle w:val="Compact"/>
      </w:pPr>
      <w:r>
        <w:t xml:space="preserve">SWITCH 2025:</w:t>
      </w:r>
      <w:r>
        <w:t xml:space="preserve"> </w:t>
      </w:r>
      <w:r>
        <w:t xml:space="preserve">“</w:t>
      </w:r>
      <w:r>
        <w:t xml:space="preserve">Enterprise Singapore (2025)</w:t>
      </w:r>
      <w:r>
        <w:t xml:space="preserve">”</w:t>
      </w:r>
    </w:p>
    <w:p>
      <w:pPr>
        <w:numPr>
          <w:ilvl w:val="1"/>
          <w:numId w:val="1018"/>
        </w:numPr>
        <w:pStyle w:val="Compact"/>
      </w:pPr>
      <w:r>
        <w:t xml:space="preserve">Digital government rankings:</w:t>
      </w:r>
      <w:r>
        <w:t xml:space="preserve"> </w:t>
      </w:r>
      <w:r>
        <w:t xml:space="preserve">“</w:t>
      </w:r>
      <w:r>
        <w:t xml:space="preserve">GovTech Singapore (2024)</w:t>
      </w:r>
      <w:r>
        <w:t xml:space="preserve">”</w:t>
      </w:r>
    </w:p>
    <w:p>
      <w:pPr>
        <w:numPr>
          <w:ilvl w:val="1"/>
          <w:numId w:val="1018"/>
        </w:numPr>
        <w:pStyle w:val="Compact"/>
      </w:pPr>
      <w:r>
        <w:t xml:space="preserve">ATxSG summit:</w:t>
      </w:r>
      <w:r>
        <w:t xml:space="preserve"> </w:t>
      </w:r>
      <w:r>
        <w:t xml:space="preserve">“</w:t>
      </w:r>
      <w:r>
        <w:t xml:space="preserve">IMDA (2025)</w:t>
      </w:r>
      <w:r>
        <w:t xml:space="preserve">”</w:t>
      </w:r>
    </w:p>
    <w:p>
      <w:pPr>
        <w:numPr>
          <w:ilvl w:val="1"/>
          <w:numId w:val="1018"/>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16"/>
        </w:numPr>
        <w:pStyle w:val="Compact"/>
      </w:pPr>
      <w:r>
        <w:rPr>
          <w:bCs/>
          <w:b/>
        </w:rPr>
        <w:t xml:space="preserve">Trích dẫn Section T — WB Working Papers 2015/2026 (v2.9)</w:t>
      </w:r>
      <w:r>
        <w:t xml:space="preserve">:</w:t>
      </w:r>
    </w:p>
    <w:p>
      <w:pPr>
        <w:numPr>
          <w:ilvl w:val="1"/>
          <w:numId w:val="1019"/>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19"/>
        </w:numPr>
        <w:pStyle w:val="Compact"/>
      </w:pPr>
      <w:r>
        <w:t xml:space="preserve">Vietnam trade liberalization đến productivity:</w:t>
      </w:r>
      <w:r>
        <w:t xml:space="preserve"> </w:t>
      </w:r>
      <w:r>
        <w:t xml:space="preserve">“</w:t>
      </w:r>
      <w:r>
        <w:t xml:space="preserve">Barattieri, Mattoo, &amp; Signoret (2026)</w:t>
      </w:r>
      <w:r>
        <w:t xml:space="preserve">”</w:t>
      </w:r>
      <w:r>
        <w:t xml:space="preserve"> </w:t>
      </w:r>
      <w:r>
        <w:t xml:space="preserve">[WPS11354]</w:t>
      </w:r>
    </w:p>
    <w:p>
      <w:pPr>
        <w:numPr>
          <w:ilvl w:val="1"/>
          <w:numId w:val="1019"/>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19"/>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19"/>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316"/>
    <w:bookmarkStart w:id="317" w:name="khi-nộp-bản-cuối"/>
    <w:p>
      <w:pPr>
        <w:pStyle w:val="Heading3"/>
      </w:pPr>
      <w:r>
        <w:t xml:space="preserve">Khi nộp bản cuối</w:t>
      </w:r>
    </w:p>
    <w:p>
      <w:pPr>
        <w:numPr>
          <w:ilvl w:val="0"/>
          <w:numId w:val="1020"/>
        </w:numPr>
        <w:pStyle w:val="Compact"/>
      </w:pPr>
      <w:r>
        <w:t xml:space="preserve">Xác minh DOI trên Crossref hoặc trang publisher cho các entry không quen thuộc.</w:t>
      </w:r>
    </w:p>
    <w:p>
      <w:pPr>
        <w:numPr>
          <w:ilvl w:val="0"/>
          <w:numId w:val="1020"/>
        </w:numPr>
        <w:pStyle w:val="Compact"/>
      </w:pPr>
      <w:r>
        <w:t xml:space="preserve">Kiểm tra nhất quán italic và punctuation theo APA 7th.</w:t>
      </w:r>
    </w:p>
    <w:p>
      <w:pPr>
        <w:numPr>
          <w:ilvl w:val="0"/>
          <w:numId w:val="1020"/>
        </w:numPr>
        <w:pStyle w:val="Compact"/>
      </w:pPr>
      <w:r>
        <w:t xml:space="preserve">Yang et al. (2025) JBR: hiện chưa verify được volume/pages — cần kiểm tra Crossref hoặc loại bỏ.</w:t>
      </w:r>
    </w:p>
    <w:p>
      <w:pPr>
        <w:numPr>
          <w:ilvl w:val="0"/>
          <w:numId w:val="1020"/>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20"/>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20"/>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317"/>
    <w:bookmarkStart w:id="318" w:name="audit-warnings-status-cập-nhật-v2.5"/>
    <w:p>
      <w:pPr>
        <w:pStyle w:val="Heading3"/>
      </w:pPr>
      <w:r>
        <w:t xml:space="preserve">Audit warnings status (cập nhật v2.5)</w:t>
      </w:r>
    </w:p>
    <w:p>
      <w:pPr>
        <w:pStyle w:val="FirstParagraph"/>
      </w:pPr>
      <w:r>
        <w:rPr>
          <w:bCs/>
          <w:b/>
        </w:rPr>
        <w:t xml:space="preserve">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Mục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Mục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318"/>
    <w:bookmarkEnd w:id="319"/>
    <w:bookmarkStart w:id="320"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320"/>
    <w:bookmarkStart w:id="321"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r>
        <w:t xml:space="preserve"> </w:t>
      </w: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r>
        <w:t xml:space="preserve"> </w:t>
      </w: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321"/>
    <w:bookmarkStart w:id="322"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bookmarkEnd w:id="322"/>
    <w:bookmarkStart w:id="323"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323"/>
    <w:bookmarkStart w:id="327"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324" w:name="X041759103c7c799db9799d6bd71834307a428c8"/>
    <w:p>
      <w:pPr>
        <w:pStyle w:val="Heading3"/>
      </w:pPr>
      <w:r>
        <w:t xml:space="preserve">Công trình của tác giả luận án — Cập nhật Section M</w:t>
      </w:r>
    </w:p>
    <w:bookmarkEnd w:id="324"/>
    <w:bookmarkStart w:id="325"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325"/>
    <w:bookmarkStart w:id="326"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r>
        <w:t xml:space="preserve"> </w:t>
      </w: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bookmarkEnd w:id="326"/>
    <w:bookmarkEnd w:id="327"/>
    <w:bookmarkStart w:id="328" w:name="X4ad38a67506c0aa3a2d571e9cd2db0013b86176"/>
    <w:p>
      <w:pPr>
        <w:pStyle w:val="Heading2"/>
      </w:pPr>
      <w:r>
        <w:t xml:space="preserve">Bổ sung v2.8 — Thao tác hóa FSTS trực tiếp/gián tiếp (Chương 3 Mục 3.3.2, CĐ1 Mục 2.2)</w:t>
      </w:r>
    </w:p>
    <w:p>
      <w:pPr>
        <w:pStyle w:val="FirstParagraph"/>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bookmarkEnd w:id="328"/>
    <w:bookmarkStart w:id="329" w:name="X4810745a8b7558f6ac6877d26fce4f3b946fba5"/>
    <w:p>
      <w:pPr>
        <w:pStyle w:val="Heading2"/>
      </w:pPr>
      <w:r>
        <w:t xml:space="preserve">Bổ sung v2.9 — Phân biệt cấu trúc số (Chương 2 Mục 2.2.5, Chương 3 Mục 3.3.3)</w:t>
      </w:r>
    </w:p>
    <w:p>
      <w:pPr>
        <w:pStyle w:val="FirstParagraph"/>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bookmarkEnd w:id="329"/>
    <w:bookmarkStart w:id="330" w:name="X2a802b4844355bd9a9addebe0f180df0342c84e"/>
    <w:p>
      <w:pPr>
        <w:pStyle w:val="Heading2"/>
      </w:pPr>
      <w:r>
        <w:t xml:space="preserve">Bổ sung v3.0 — Hoàn thiện entry còn thiếu (rà soát Inspector 06/2026)</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Scott, W. R. (1995).</w:t>
      </w:r>
      <w:r>
        <w:t xml:space="preserve"> </w:t>
      </w:r>
      <w:r>
        <w:rPr>
          <w:iCs/>
          <w:i/>
        </w:rPr>
        <w:t xml:space="preserve">Institutions and organizations</w:t>
      </w:r>
      <w:r>
        <w:t xml:space="preserve">. Sage.</w:t>
      </w:r>
    </w:p>
    <w:bookmarkEnd w:id="330"/>
    <w:bookmarkStart w:id="331" w:name="X0abbf775f59dd3e18884b0e2af21123940b885a"/>
    <w:p>
      <w:pPr>
        <w:pStyle w:val="Heading2"/>
      </w:pPr>
      <w:r>
        <w:t xml:space="preserve">Bổ sung v2.8 — Tài liệu nền I–P kinh điển + phê phán gần đây (15/06/2026)</w:t>
      </w:r>
    </w:p>
    <w:p>
      <w:pPr>
        <w:pStyle w:val="BlockText"/>
      </w:pPr>
      <w:r>
        <w:t xml:space="preserve">Bổ sung 5 entries để củng cố nền lý thuyết MNE/FDI kinh điển và bằng chứng phê phán gần đây cho mảng internationalization–firm performance (trích dẫn trong Chương 2). DOI của Caves (1971) và Vernon (1966) để trống, sẽ xác minh trong lượt</w:t>
      </w:r>
      <w:r>
        <w:t xml:space="preserve"> </w:t>
      </w:r>
      <w:r>
        <w:rPr>
          <w:rStyle w:val="VerbatimChar"/>
        </w:rPr>
        <w:t xml:space="preserve">verify_dois.py</w:t>
      </w:r>
      <w:r>
        <w:t xml:space="preserve">.</w:t>
      </w:r>
    </w:p>
    <w:p>
      <w:pPr>
        <w:pStyle w:val="FirstParagraph"/>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r>
        <w:br w:type="page"/>
      </w:r>
    </w:p>
    <w:bookmarkEnd w:id="331"/>
    <w:bookmarkEnd w:id="332"/>
    <w:bookmarkStart w:id="343"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333"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333"/>
    <w:bookmarkStart w:id="334"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334"/>
    <w:bookmarkStart w:id="335"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(pool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mô tả 50 nền =</w:t>
            </w:r>
            <w:r>
              <w:t xml:space="preserve"> </w:t>
            </w:r>
            <w:r>
              <w:rPr>
                <w:bCs/>
                <w:b/>
              </w:rPr>
              <w:t xml:space="preserve">88.869</w:t>
            </w:r>
            <w:r>
              <w:t xml:space="preserve"> </w:t>
            </w:r>
            <w:r>
              <w:t xml:space="preserve">DN / 103 cặp</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mô tả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pool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17 đợt khảo sát 2003–2025.</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335"/>
    <w:bookmarkStart w:id="336"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21"/>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21"/>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21"/>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21"/>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336"/>
    <w:bookmarkStart w:id="337"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pool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22"/>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22"/>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gradient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337"/>
    <w:bookmarkStart w:id="338" w:name="Xcda44a616a0294a63022c370d6fafff6af411dd"/>
    <w:p>
      <w:pPr>
        <w:pStyle w:val="Heading2"/>
      </w:pPr>
      <w:r>
        <w:t xml:space="preserve">A.6 Chiến lược hợp nhất kinh tế lượng (pooled repeated cross-sections)</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338"/>
    <w:bookmarkStart w:id="339"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pool</w:t>
      </w:r>
      <w:r>
        <w:t xml:space="preserve"> </w:t>
      </w:r>
      <w:r>
        <w:t xml:space="preserve">phân loại 52 nền cho mục đích độ vững (riêng Comoros được dùng trong kiểm định độ vững</w:t>
      </w:r>
      <w:r>
        <w:t xml:space="preserve"> </w:t>
      </w:r>
      <w:r>
        <w:t xml:space="preserve">mở rộng của P8).</w:t>
      </w:r>
    </w:p>
    <w:bookmarkEnd w:id="339"/>
    <w:bookmarkStart w:id="340"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340"/>
    <w:bookmarkStart w:id="341"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341"/>
    <w:bookmarkStart w:id="342"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&amp; dữ liệu:</w:t>
      </w:r>
      <w:r>
        <w:rPr>
          <w:iCs/>
          <w:i/>
        </w:rPr>
        <w:t xml:space="preserve"> </w:t>
      </w:r>
      <w:r>
        <w:rPr>
          <w:rStyle w:val="VerbatimChar"/>
          <w:iCs/>
          <w:i/>
        </w:rPr>
        <w:t xml:space="preserve">scripts/build_pooled_dataset.py</w:t>
      </w:r>
      <w:r>
        <w:rPr>
          <w:iCs/>
          <w:i/>
        </w:rPr>
        <w:t xml:space="preserve">,</w:t>
      </w:r>
      <w:r>
        <w:rPr>
          <w:iCs/>
          <w:i/>
        </w:rPr>
        <w:t xml:space="preserve"> </w:t>
      </w:r>
      <w:r>
        <w:rPr>
          <w:rStyle w:val="VerbatimChar"/>
          <w:iCs/>
          <w:i/>
        </w:rPr>
        <w:t xml:space="preserve">scripts/wbes_canon.py</w:t>
      </w:r>
      <w:r>
        <w:rPr>
          <w:iCs/>
          <w:i/>
        </w:rPr>
        <w:t xml:space="preserve">,</w:t>
      </w:r>
      <w:r>
        <w:rPr>
          <w:iCs/>
          <w:i/>
        </w:rPr>
        <w:t xml:space="preserve"> </w:t>
      </w:r>
      <w:r>
        <w:rPr>
          <w:rStyle w:val="VerbatimChar"/>
          <w:iCs/>
          <w:i/>
        </w:rPr>
        <w:t xml:space="preserve">scripts/cd1_descriptives_pipeline.py</w:t>
      </w:r>
      <w:r>
        <w:rPr>
          <w:iCs/>
          <w:i/>
        </w:rPr>
        <w:t xml:space="preserve">;</w:t>
      </w:r>
      <w:r>
        <w:rPr>
          <w:iCs/>
          <w:i/>
        </w:rPr>
        <w:t xml:space="preserve"> </w:t>
      </w:r>
      <w:r>
        <w:rPr>
          <w:rStyle w:val="VerbatimChar"/>
          <w:iCs/>
          <w:i/>
        </w:rPr>
        <w:t xml:space="preserve">data_wbes/analysis/pooled_dataflow.csv</w:t>
      </w:r>
      <w:r>
        <w:rPr>
          <w:iCs/>
          <w:i/>
        </w:rPr>
        <w:t xml:space="preserve">,</w:t>
      </w:r>
      <w:r>
        <w:rPr>
          <w:iCs/>
          <w:i/>
        </w:rPr>
        <w:t xml:space="preserve"> </w:t>
      </w:r>
      <w:r>
        <w:rPr>
          <w:rStyle w:val="VerbatimChar"/>
          <w:iCs/>
          <w:i/>
        </w:rPr>
        <w:t xml:space="preserve">DATA_UPDATE_MANIFEST.md</w:t>
      </w:r>
      <w:r>
        <w:rPr>
          <w:iCs/>
          <w:i/>
        </w:rPr>
        <w:t xml:space="preserve">,</w:t>
      </w:r>
      <w:r>
        <w:rPr>
          <w:iCs/>
          <w:i/>
        </w:rPr>
        <w:t xml:space="preserve"> </w:t>
      </w:r>
      <w:r>
        <w:rPr>
          <w:rStyle w:val="VerbatimChar"/>
          <w:iCs/>
          <w:i/>
        </w:rPr>
        <w:t xml:space="preserve">CANONICAL_RECONCILIATION.md</w:t>
      </w:r>
      <w:r>
        <w:rPr>
          <w:iCs/>
          <w:i/>
        </w:rPr>
        <w:t xml:space="preserve">.</w:t>
      </w:r>
    </w:p>
    <w:p>
      <w:r>
        <w:br w:type="page"/>
      </w:r>
    </w:p>
    <w:bookmarkEnd w:id="342"/>
    <w:bookmarkEnd w:id="34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143" Target="media/rId143.png" /><Relationship Type="http://schemas.openxmlformats.org/officeDocument/2006/relationships/image" Id="rId140" Target="media/rId140.png" /><Relationship Type="http://schemas.openxmlformats.org/officeDocument/2006/relationships/image" Id="rId160" Target="media/rId160.png" /><Relationship Type="http://schemas.openxmlformats.org/officeDocument/2006/relationships/image" Id="rId147" Target="media/rId147.png" /><Relationship Type="http://schemas.openxmlformats.org/officeDocument/2006/relationships/image" Id="rId151" Target="media/rId151.png" /><Relationship Type="http://schemas.openxmlformats.org/officeDocument/2006/relationships/image" Id="rId163" Target="media/rId163.png" /><Relationship Type="http://schemas.openxmlformats.org/officeDocument/2006/relationships/image" Id="rId211" Target="media/rId211.png" /><Relationship Type="http://schemas.openxmlformats.org/officeDocument/2006/relationships/image" Id="rId157" Target="media/rId15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2026-06-16T18:55:10Z</dcterms:created>
  <dcterms:modified xsi:type="dcterms:W3CDTF">2026-06-16T18:55:10Z</dcterms:modified>
</cp:coreProperties>
</file>

<file path=docProps/custom.xml><?xml version="1.0" encoding="utf-8"?>
<Properties xmlns="http://schemas.openxmlformats.org/officeDocument/2006/custom-properties" xmlns:vt="http://schemas.openxmlformats.org/officeDocument/2006/docPropsVTypes"/>
</file>