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and digital adoption do not significantly moderate the I-P relationship in Pacific SIDS.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6"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6"/>
    <w:bookmarkStart w:id="50" w:name="appendix-a-tables"/>
    <w:p>
      <w:pPr>
        <w:pStyle w:val="Heading2"/>
      </w:pPr>
      <w:r>
        <w:t xml:space="preserve">Appendix A: Tables</w:t>
      </w:r>
    </w:p>
    <w:bookmarkStart w:id="47"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7"/>
    <w:bookmarkStart w:id="48"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8"/>
    <w:bookmarkStart w:id="49"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9"/>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2026-05-16T15:52:58Z</dcterms:created>
  <dcterms:modified xsi:type="dcterms:W3CDTF">2026-05-16T15:52:58Z</dcterms:modified>
</cp:coreProperties>
</file>

<file path=docProps/custom.xml><?xml version="1.0" encoding="utf-8"?>
<Properties xmlns="http://schemas.openxmlformats.org/officeDocument/2006/custom-properties" xmlns:vt="http://schemas.openxmlformats.org/officeDocument/2006/docPropsVTypes"/>
</file>