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w:t>
      </w:r>
      <m:oMath>
        <m:sSup>
          <m:e>
            <m:r>
              <m:rPr>
                <m:nor/>
                <m:sty m:val="p"/>
              </m:rPr>
              <m:t>FSTS</m:t>
            </m:r>
          </m:e>
          <m:sup>
            <m:r>
              <m:t>2</m:t>
            </m:r>
          </m:sup>
        </m:sSup>
      </m:oMath>
      <w:r>
        <w:t xml:space="preserve">)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20"/>
    <w:bookmarkStart w:id="21"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23"/>
    <w:bookmarkEnd w:id="24"/>
    <w:bookmarkStart w:id="32"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27"/>
    <w:bookmarkStart w:id="28"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28"/>
    <w:bookmarkStart w:id="29"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29"/>
    <w:bookmarkStart w:id="30"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30"/>
    <w:bookmarkStart w:id="31"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31"/>
    <w:bookmarkEnd w:id="32"/>
    <w:bookmarkStart w:id="38" w:name="tổng-quan-thực-nghiệm"/>
    <w:p>
      <w:pPr>
        <w:pStyle w:val="Heading2"/>
      </w:pPr>
      <w:r>
        <w:t xml:space="preserve">2.3 Tổng quan thực nghiệm</w:t>
      </w:r>
    </w:p>
    <w:bookmarkStart w:id="33"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33"/>
    <w:bookmarkStart w:id="34"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w:t>
      </w:r>
      <w:r>
        <w:t xml:space="preserve"> </w:t>
      </w:r>
      <m:oMath>
        <m:sSup>
          <m:e>
            <m:r>
              <m:t>I</m:t>
            </m:r>
          </m:e>
          <m:sup>
            <m:r>
              <m:t>2</m:t>
            </m:r>
          </m:sup>
        </m:sSup>
      </m:oMath>
      <w:r>
        <w:t xml:space="preserve"> </w:t>
      </w:r>
      <w:r>
        <w:t xml:space="preserve">&gt;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Trong một phiên bản tiền đề trình bày tại Hội thảo Quốc tế lần thứ 6 về Kinh tế, Kinh doanh và Tài chính (Đỗ &amp; Phan, 2024), nhóm tác giả của luận án tổng hợp 113 nghiên cứu (200 cỡ ảnh hưởng, giai đoạn 1977–2022) và ước lượng hiệu ứng gộp dương nhỏ r = 0,07 (z = 5,29; p &lt; 0,001), nhất quán với các phân tích tổng hợp toàn cầu trước đó.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w:t>
      </w:r>
      <w:r>
        <w:t xml:space="preserve"> </w:t>
      </w:r>
      <m:oMath>
        <m:acc>
          <m:accPr>
            <m:chr m:val="‾"/>
          </m:accPr>
          <m:e>
            <m:r>
              <m:t>r</m:t>
            </m:r>
          </m:e>
        </m:acc>
      </m:oMath>
      <w:r>
        <w:t xml:space="preserve"> </w:t>
      </w:r>
      <w:r>
        <w:t xml:space="preserve">= 0,074 [KTC 95%: 0,060; 0,088],</w:t>
      </w:r>
      <w:r>
        <w:t xml:space="preserve"> </w:t>
      </w:r>
      <m:oMath>
        <m:sSup>
          <m:e>
            <m:r>
              <m:t>I</m:t>
            </m:r>
          </m:e>
          <m:sup>
            <m:r>
              <m:t>2</m:t>
            </m:r>
          </m:sup>
        </m:sSup>
      </m:oMath>
      <w:r>
        <w:t xml:space="preserve"> </w:t>
      </w:r>
      <w:r>
        <w:t xml:space="preserve">= 62,4%,</w:t>
      </w:r>
      <w:r>
        <w:t xml:space="preserve"> </w:t>
      </w:r>
      <m:oMath>
        <m:sSub>
          <m:e>
            <m:r>
              <m:t>Q</m:t>
            </m:r>
          </m:e>
          <m:sub>
            <m:r>
              <m:t>M</m:t>
            </m:r>
          </m:sub>
        </m:sSub>
        <m:d>
          <m:dPr>
            <m:begChr m:val="("/>
            <m:endChr m:val=")"/>
            <m:sepChr m:val=""/>
            <m:grow/>
          </m:dPr>
          <m:e>
            <m:r>
              <m:rPr>
                <m:sty m:val="p"/>
              </m:rPr>
              <m:t>I</m:t>
            </m:r>
            <m:r>
              <m:rPr>
                <m:sty m:val="p"/>
              </m:rPr>
              <m:t>C</m:t>
            </m:r>
            <m:r>
              <m:rPr>
                <m:sty m:val="p"/>
              </m:rPr>
              <m:t>R</m:t>
            </m:r>
            <m:r>
              <m:rPr>
                <m:sty m:val="p"/>
              </m:rPr>
              <m:t>V</m:t>
            </m:r>
          </m:e>
        </m:d>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34"/>
    <w:bookmarkStart w:id="35"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35"/>
    <w:bookmarkStart w:id="36"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36"/>
    <w:bookmarkStart w:id="37"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7"/>
    <w:bookmarkEnd w:id="38"/>
    <w:bookmarkStart w:id="39"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(Country–Digital–Capability Moderation), một khung lý thuyết tích hợp đa tầng gồm ba tầng điều tiết: bối cảnh thể chế quốc gia (tầng vĩ mô, vận hành hóa bằng khung ICRV); năng lực số ở cấp doanh nghiệp, phân tách năng lực công nghệ TCI và mức độ chấp nhận số DAI (tầng tổ chức); và năng lực cùng đặc điểm của nhà quản trị cấp cao (tầng cá nhân).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cho thấy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39"/>
    <w:bookmarkStart w:id="54" w:name="mô-hình-nghiên-cứu-và-hệ-giả-thuyết"/>
    <w:p>
      <w:pPr>
        <w:pStyle w:val="Heading2"/>
      </w:pPr>
      <w:r>
        <w:t xml:space="preserve">2.5 Mô hình nghiên cứu và hệ giả thuyết</w:t>
      </w:r>
    </w:p>
    <w:bookmarkStart w:id="43"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có thể định hình không chỉ độ lớn mà cả dấu và dạng hình của quan hệ quốc tế hóa và hiệu quả, đến mức ở cực trị thể chế yếu nhất (Nhóm VI SIDS), nơi cả ba tầng đồng thời ở mức tối thiểu, họ mô hình chữ U ngược có thể không còn áp dụng và quan hệ nghiêng về dạng âm đơn điệu (điều kiện biên FIP, mang tính thăm dò).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xếp theo phổ chất lượng thể chế giảm dần, từ mạnh nhất đến yếu nhất: Nhóm I (tiên tiến đổi mới), II (tiên tiến tài nguyên), III (trung bình cao), IV (chuyển đổi trung bình–thấp), V (đang nổi) và VI (đảo nhỏ đang phát triển,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41" name="Picture"/>
            <a:graphic>
              <a:graphicData uri="http://schemas.openxmlformats.org/drawingml/2006/picture">
                <pic:pic>
                  <pic:nvPicPr>
                    <pic:cNvPr descr="figures/fig_2_1_cdcm_conceptual_model.png" id="42" name="Picture"/>
                    <pic:cNvPicPr>
                      <a:picLocks noChangeArrowheads="1" noChangeAspect="1"/>
                    </pic:cNvPicPr>
                  </pic:nvPicPr>
                  <pic:blipFill>
                    <a:blip r:embed="rId40"/>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43"/>
    <w:bookmarkStart w:id="44"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44"/>
    <w:bookmarkStart w:id="45"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45"/>
    <w:bookmarkStart w:id="46"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46"/>
    <w:bookmarkStart w:id="47"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w:t>
      </w:r>
      <w:r>
        <w:t xml:space="preserve"> </w:t>
      </w:r>
      <m:oMath>
        <m:r>
          <m:rPr>
            <m:sty m:val="p"/>
          </m:rPr>
          <m:t>×</m:t>
        </m:r>
        <m:sSup>
          <m:e>
            <m:r>
              <m:rPr>
                <m:nor/>
                <m:sty m:val="p"/>
              </m:rPr>
              <m:t>FSTS</m:t>
            </m:r>
          </m:e>
          <m:sup>
            <m:r>
              <m:t>2</m:t>
            </m:r>
          </m:sup>
        </m:sSup>
      </m:oMath>
      <w:r>
        <w:t xml:space="preserve"> </w:t>
      </w:r>
      <w:r>
        <w:t xml:space="preserve">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47"/>
    <w:bookmarkStart w:id="48"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w:t>
      </w:r>
      <w:r>
        <w:t xml:space="preserve"> </w:t>
      </w:r>
      <m:oMath>
        <m:r>
          <m:rPr>
            <m:sty m:val="p"/>
          </m:rPr>
          <m:t>×</m:t>
        </m:r>
        <m:sSup>
          <m:e>
            <m:r>
              <m:rPr>
                <m:nor/>
                <m:sty m:val="p"/>
              </m:rPr>
              <m:t>FSTS</m:t>
            </m:r>
          </m:e>
          <m:sup>
            <m:r>
              <m:t>2</m:t>
            </m:r>
          </m:sup>
        </m:sSup>
      </m:oMath>
      <w:r>
        <w:t xml:space="preserve"> </w:t>
      </w:r>
      <w:r>
        <w:t xml:space="preserve">(hoặc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48"/>
    <w:bookmarkStart w:id="49"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49"/>
    <w:bookmarkStart w:id="50"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50"/>
    <w:bookmarkStart w:id="51"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51"/>
    <w:bookmarkStart w:id="52"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w:t>
            </w:r>
            <w:r>
              <w:t xml:space="preserve"> </w:t>
            </w:r>
            <m:oMath>
              <m:sSup>
                <m:e>
                  <m:r>
                    <m:rPr>
                      <m:nor/>
                      <m:sty m:val="p"/>
                    </m:rPr>
                    <m:t>FSTS</m:t>
                  </m:r>
                </m:e>
                <m:sup>
                  <m:r>
                    <m:t>2</m:t>
                  </m:r>
                </m:sup>
              </m:sSup>
            </m:oMath>
            <w:r>
              <w:t xml:space="preserve">;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w:t>
            </w:r>
            <w:r>
              <w:t xml:space="preserve"> </w:t>
            </w:r>
            <m:oMath>
              <m:r>
                <m:rPr>
                  <m:sty m:val="p"/>
                </m:rPr>
                <m:t>×</m:t>
              </m:r>
              <m:sSup>
                <m:e>
                  <m:r>
                    <m:rPr>
                      <m:nor/>
                      <m:sty m:val="p"/>
                    </m:rPr>
                    <m:t>FSTS</m:t>
                  </m:r>
                </m:e>
                <m:sup>
                  <m:r>
                    <m:t>2</m:t>
                  </m:r>
                </m:sup>
              </m:sSup>
            </m:oMath>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w:t>
            </w:r>
            <w:r>
              <w:t xml:space="preserve"> </w:t>
            </w:r>
            <m:oMath>
              <m:r>
                <m:rPr>
                  <m:sty m:val="p"/>
                </m:rPr>
                <m:t>×</m:t>
              </m:r>
              <m:sSup>
                <m:e>
                  <m:r>
                    <m:rPr>
                      <m:nor/>
                      <m:sty m:val="p"/>
                    </m:rPr>
                    <m:t>FSTS</m:t>
                  </m:r>
                </m:e>
                <m:sup>
                  <m:r>
                    <m:t>2</m:t>
                  </m:r>
                </m:sup>
              </m:sSup>
            </m:oMath>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w:t>
            </w:r>
            <w:r>
              <w:t xml:space="preserve"> </w:t>
            </w:r>
            <m:oMath>
              <m:r>
                <m:rPr>
                  <m:sty m:val="p"/>
                </m:rPr>
                <m:t>×</m:t>
              </m:r>
              <m:sSup>
                <m:e>
                  <m:r>
                    <m:rPr>
                      <m:nor/>
                      <m:sty m:val="p"/>
                    </m:rPr>
                    <m:t>FSTS</m:t>
                  </m:r>
                </m:e>
                <m:sup>
                  <m:r>
                    <m:t>2</m:t>
                  </m:r>
                </m:sup>
              </m:sSup>
            </m:oMath>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52"/>
    <w:bookmarkStart w:id="53"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53"/>
    <w:bookmarkEnd w:id="54"/>
    <w:bookmarkStart w:id="55"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bookmarkEnd w:id="55"/>
    <w:bookmarkEnd w:id="5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2026-06-27T12:53:20Z</dcterms:created>
  <dcterms:modified xsi:type="dcterms:W3CDTF">2026-06-27T12:53:20Z</dcterms:modified>
</cp:coreProperties>
</file>

<file path=docProps/custom.xml><?xml version="1.0" encoding="utf-8"?>
<Properties xmlns="http://schemas.openxmlformats.org/officeDocument/2006/custom-properties" xmlns:vt="http://schemas.openxmlformats.org/officeDocument/2006/docPropsVTypes"/>
</file>