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(danh sách đầy đủ các nghiên cứu sơ cấp được liệt kê ở Phụ lục D)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VIF) duy trì dưới 3 ở mọi mô hình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w:t>
      </w:r>
      <w:r>
        <w:t xml:space="preserve"> </w:t>
      </w:r>
      <m:oMath>
        <m:sSup>
          <m:e>
            <m:r>
              <m:rPr>
                <m:nor/>
                <m:sty m:val="p"/>
              </m:rPr>
              <m:t>FSTS</m:t>
            </m:r>
          </m:e>
          <m:sup>
            <m:r>
              <m:t>2</m:t>
            </m:r>
          </m:sup>
        </m:sSup>
      </m:oMath>
      <w:r>
        <w:t xml:space="preserve">),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w:t>
      </w:r>
      <w:r>
        <w:t xml:space="preserve"> </w:t>
      </w:r>
      <m:oMath>
        <m:sSup>
          <m:e>
            <m:r>
              <m:rPr>
                <m:nor/>
                <m:sty m:val="p"/>
              </m:rPr>
              <m:t>FSTS</m:t>
            </m:r>
          </m:e>
          <m:sup>
            <m:r>
              <m:t>2</m:t>
            </m:r>
          </m:sup>
        </m:sSup>
      </m:oMath>
      <w:r>
        <w:t xml:space="preserve">×TCI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w:t>
      </w:r>
      <w:r>
        <w:t xml:space="preserve"> </w:t>
      </w:r>
      <m:oMath>
        <m:sSup>
          <m:e>
            <m:r>
              <m:rPr>
                <m:nor/>
                <m:sty m:val="p"/>
              </m:rPr>
              <m:t>FSTS</m:t>
            </m:r>
          </m:e>
          <m:sup>
            <m:r>
              <m:t>2</m:t>
            </m:r>
          </m:sup>
        </m:sSup>
        <m:r>
          <m:rPr>
            <m:sty m:val="p"/>
          </m:rPr>
          <m:t>×</m:t>
        </m:r>
        <m:r>
          <m:rPr>
            <m:nor/>
            <m:sty m:val="p"/>
          </m:rPr>
          <m:t>DAI</m:t>
        </m:r>
      </m:oMath>
      <w:r>
        <w:t xml:space="preserve"> </w:t>
      </w:r>
      <w:r>
        <w:t xml:space="preserve">=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w:t>
      </w:r>
      <w:r>
        <w:t xml:space="preserve"> </w:t>
      </w:r>
      <m:oMath>
        <m:sSup>
          <m:e>
            <m:r>
              <m:rPr>
                <m:nor/>
                <m:sty m:val="p"/>
              </m:rPr>
              <m:t>FSTS</m:t>
            </m:r>
          </m:e>
          <m:sup>
            <m:r>
              <m:t>2</m:t>
            </m:r>
          </m:sup>
        </m:sSup>
        <m:r>
          <m:rPr>
            <m:sty m:val="p"/>
          </m:rPr>
          <m:t>×</m:t>
        </m:r>
        <m:r>
          <m:rPr>
            <m:nor/>
            <m:sty m:val="p"/>
          </m:rPr>
          <m:t>DAI</m:t>
        </m:r>
      </m:oMath>
      <w:r>
        <w:t xml:space="preserve"> </w:t>
      </w:r>
      <w:r>
        <w:t xml:space="preserve">=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w:t>
      </w:r>
      <w:r>
        <w:t xml:space="preserve"> </w:t>
      </w:r>
      <m:oMath>
        <m:sSup>
          <m:e>
            <m:r>
              <m:rPr>
                <m:nor/>
                <m:sty m:val="p"/>
              </m:rPr>
              <m:t>FSTS</m:t>
            </m:r>
          </m:e>
          <m:sup>
            <m:r>
              <m:t>2</m:t>
            </m:r>
          </m:sup>
        </m:sSup>
      </m:oMath>
      <w:r>
        <w:t xml:space="preserve">×ICRV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2008; MacKinnon và Webb, 2017,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MacKinnon và Webb, 2017;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đúng vùng mà gần như toàn bộ doanh nghiệp đảo nhỏ hoạt động,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dạng \cap,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(dạng</w:t>
      </w:r>
      <w:r>
        <w:t xml:space="preserve"> </w:t>
      </w:r>
      <m:oMath>
        <m:r>
          <m:rPr>
            <m:sty m:val="p"/>
          </m:rPr>
          <m:t>∩</m:t>
        </m:r>
      </m:oMath>
      <w:r>
        <w:t xml:space="preserve">,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khái niệm gánh nặng quốc tế hóa bắt buộc có giá trị định hướng,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w:t>
      </w:r>
      <w:r>
        <w:rPr>
          <w:iCs/>
          <w:i/>
        </w:rPr>
        <w:t xml:space="preserve"> </w:t>
      </w:r>
      <m:oMath>
        <m:sSup>
          <m:e>
            <m:r>
              <m:rPr>
                <m:nor/>
                <m:sty m:val="p"/>
              </m:rPr>
              <m:t>FSTS</m:t>
            </m:r>
          </m:e>
          <m:sup>
            <m:r>
              <m:t>2</m:t>
            </m:r>
          </m:sup>
        </m:sSup>
      </m:oMath>
      <w:r>
        <w:rPr>
          <w:iCs/>
          <w:i/>
        </w:rPr>
        <w:t xml:space="preserve"> </w:t>
      </w:r>
      <w:r>
        <w:rPr>
          <w:iCs/>
          <w:i/>
        </w:rPr>
        <w:t xml:space="preserve">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2026-06-27T12:53:38Z</dcterms:created>
  <dcterms:modified xsi:type="dcterms:W3CDTF">2026-06-27T12:53:38Z</dcterms:modified>
</cp:coreProperties>
</file>

<file path=docProps/custom.xml><?xml version="1.0" encoding="utf-8"?>
<Properties xmlns="http://schemas.openxmlformats.org/officeDocument/2006/custom-properties" xmlns:vt="http://schemas.openxmlformats.org/officeDocument/2006/docPropsVTypes"/>
</file>