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1"/>
    <w:bookmarkStart w:id="29" w:name="Xff8cef3ed320f9cf6f3fba4ff558bfed3af19c6"/>
    <w:p>
      <w:pPr>
        <w:pStyle w:val="Heading2"/>
      </w:pPr>
      <w:r>
        <w:t xml:space="preserve">5.1 Bàn luận kết quả theo khung lý thuyết CDCM</w:t>
      </w:r>
    </w:p>
    <w:bookmarkStart w:id="22"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gradient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sub-regime ICRV,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50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gradient: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2"/>
    <w:bookmarkStart w:id="23" w:name="tci-là-năng-lực-nền-tảng-xác-nhận-h2"/>
    <w:p>
      <w:pPr>
        <w:pStyle w:val="Heading3"/>
      </w:pPr>
      <w:r>
        <w:t xml:space="preserve">5.1.2 TCI là Năng Lực Nền Tảng: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 ,001).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Digital Adoption Index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digital capability</w:t>
      </w:r>
      <w:r>
        <w:t xml:space="preserve">”</w:t>
      </w:r>
      <w:r>
        <w:t xml:space="preserve"> </w:t>
      </w:r>
      <w:r>
        <w:t xml:space="preserve">theo nghĩa của dynamic capabilities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 ,087), nhất quán về chiều với lập luận này nhưng cần kiểm định nhân quả chặt hơn trước khi khẳng định.</w:t>
      </w:r>
    </w:p>
    <w:bookmarkEnd w:id="24"/>
    <w:bookmarkStart w:id="25"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biến điều tiết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5"/>
    <w:bookmarkStart w:id="26"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M1 với hiệu ứng cố định quốc gia và năm; trong mẫu phụ chỉ gồm doanh nghiệp xuất khẩu, hệ số vẫn âm nhưng không ý nghĩa do N = 26)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điểm uốn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văn liệu I–P.</w:t>
      </w:r>
    </w:p>
    <w:p>
      <w:r>
        <w:pict>
          <v:rect style="width:0;height:1.5pt" o:hralign="center" o:hrstd="t" o:hr="t"/>
        </w:pict>
      </w:r>
    </w:p>
    <w:bookmarkEnd w:id="26"/>
    <w:bookmarkStart w:id="27"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Tier-2 thay thế Tier-1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27"/>
    <w:bookmarkStart w:id="28" w:name="Xbffcbb2cefd87893b0a3903884b48c3b4587efe"/>
    <w:p>
      <w:pPr>
        <w:pStyle w:val="Heading3"/>
      </w:pPr>
      <w:r>
        <w:t xml:space="preserve">5.1.7 Tích hợp ba vùng của gradient thể chế: từ chữ U ngược đến tan rã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gradient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gradient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đặc tả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gradient (chế độ đang nổi và đảo nhỏ, Nhóm V và VI), quan hệ mất cấu trúc theo hai mức độ khác nhau. Tại Nhóm V, các hệ số không còn ý nghĩa thống kê và dạng hàm tan rã (P7). Tại Nhóm VI là các nền kinh tế đảo nhỏ, quan hệ không chỉ tan rã mà đảo hẳn sang âm đơn điệu, gánh nặng quốc tế hóa bắt buộc với hệ số −1,339 (p &lt; 0,001, P8).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gradient. Bằng chứng Việt Nam (P3) cho thấy độ cong toàn mẫu trong chế độ chuyển đổi được nhận diện chủ yếu qua biên tham gia, tức bước nhảy năng suất khi doanh nghiệp chuyển từ không xuất khẩu sang xuất khẩu (H1a), chứ không qua độ cong cường độ trong nhóm doanh nghiệp đã xuất khẩu (H1b);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8"/>
    <w:bookmarkEnd w:id="29"/>
    <w:bookmarkStart w:id="33" w:name="so-sánh-với-nghiên-cứu-trước-đây"/>
    <w:p>
      <w:pPr>
        <w:pStyle w:val="Heading2"/>
      </w:pPr>
      <w:r>
        <w:t xml:space="preserve">5.2 So sánh với nghiên cứu trước đây</w:t>
      </w:r>
    </w:p>
    <w:bookmarkStart w:id="30" w:name="nhất-quán-với-baseline-icbef-2024"/>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(nghiên cứu thành phần P1–P2 của luận án).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văn liệu, vấn đề chủ yếu là</w:t>
      </w:r>
      <w:r>
        <w:t xml:space="preserve"> </w:t>
      </w:r>
      <w:r>
        <w:rPr>
          <w:bCs/>
          <w:b/>
        </w:rPr>
        <w:t xml:space="preserve">đo lường bên trong nghiên cứu</w:t>
      </w:r>
      <w:r>
        <w:t xml:space="preserve">, không phải sự bất đồng căn bản giữa các nghiên cứu.</w:t>
      </w:r>
    </w:p>
    <w:bookmarkEnd w:id="30"/>
    <w:bookmarkStart w:id="31"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điểm uốn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Advanced Innovation; lưu ý điểm uốn này không định vị tin cậy do CI vượt ngưỡng khả thi, xem Mục 4.3) đến TP ≈ 39,7% (Việt Nam pooled, Lower-mid Transition),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FIP tại SIDS, không phải là S-curve hay chữ U ngược mà là quan hệ âm đơn điệu,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văn liệu Lu và Beamish.</w:t>
      </w:r>
    </w:p>
    <w:bookmarkEnd w:id="31"/>
    <w:bookmarkStart w:id="32" w:name="X7d417abcca377c053c807a61872538ebbcf35bb"/>
    <w:p>
      <w:pPr>
        <w:pStyle w:val="Heading3"/>
      </w:pPr>
      <w:r>
        <w:t xml:space="preserve">5.2.3 Mở rộng Marano et al. (2016): ICRV thay thế binary institutional quality</w:t>
      </w:r>
    </w:p>
    <w:p>
      <w:pPr>
        <w:pStyle w:val="FirstParagraph"/>
      </w:pPr>
      <w:r>
        <w:t xml:space="preserve">Marano et al. (2016) là meta-analysis quan trọng nhất trong văn liệu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w:t>
      </w:r>
      <w:r>
        <w:t xml:space="preserve"> </w:t>
      </w:r>
      <w:r>
        <w:t xml:space="preserve">“</w:t>
      </w:r>
      <w:r>
        <w:t xml:space="preserve">emerging</w:t>
      </w:r>
      <w:r>
        <w:t xml:space="preserve">”</w:t>
      </w:r>
      <w:r>
        <w:t xml:space="preserve"> </w:t>
      </w:r>
      <w:r>
        <w:t xml:space="preserve">(phân biệt Upper-middle Trung Quốc với Lower-middle transition Việt Nam với Emerging Campuchia và SIDS) và nhóm</w:t>
      </w:r>
      <w:r>
        <w:t xml:space="preserve"> </w:t>
      </w:r>
      <w:r>
        <w:t xml:space="preserve">“</w:t>
      </w:r>
      <w:r>
        <w:t xml:space="preserve">advanced</w:t>
      </w:r>
      <w:r>
        <w:t xml:space="preserve">”</w:t>
      </w:r>
      <w:r>
        <w:t xml:space="preserve"> </w:t>
      </w:r>
      <w:r>
        <w:t xml:space="preserve">(phân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một cải tiến phương pháp so với random-effects meta-analysis đơn tầng của Marano et al. (2016).</w:t>
      </w:r>
    </w:p>
    <w:p>
      <w:r>
        <w:pict>
          <v:rect style="width:0;height:1.5pt" o:hralign="center" o:hrstd="t" o:hr="t"/>
        </w:pict>
      </w:r>
    </w:p>
    <w:bookmarkEnd w:id="32"/>
    <w:bookmarkEnd w:id="33"/>
    <w:bookmarkStart w:id="39" w:name="đóng-góp-lý-thuyết"/>
    <w:p>
      <w:pPr>
        <w:pStyle w:val="Heading2"/>
      </w:pPr>
      <w:r>
        <w:t xml:space="preserve">5.3 Đóng góp lý thuyết</w:t>
      </w:r>
    </w:p>
    <w:bookmarkStart w:id="34"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I–P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foundational capability (như TCI) mà là</w:t>
      </w:r>
      <w:r>
        <w:t xml:space="preserve"> </w:t>
      </w:r>
      <w:r>
        <w:rPr>
          <w:bCs/>
          <w:b/>
        </w:rPr>
        <w:t xml:space="preserve">situational resource</w:t>
      </w:r>
      <w:r>
        <w:t xml:space="preserve">, tài nguyên có vai trò thay đổi theo bối cảnh thể chế. Quan trọng: tương tác chế độ-yếu (FSTS×Weak = −0,523, p = ,087, biên ý nghĩa) cho thấy hiệu ứng điều tiết của DAI</w:t>
      </w:r>
      <w:r>
        <w:t xml:space="preserve"> </w:t>
      </w:r>
      <w:r>
        <w:rPr>
          <w:bCs/>
          <w:b/>
        </w:rPr>
        <w:t xml:space="preserve">mạnh hơn</w:t>
      </w:r>
      <w:r>
        <w:t xml:space="preserve"> </w:t>
      </w:r>
      <w:r>
        <w:t xml:space="preserve">tại các nền kinh tế thể chế yếu hơn (Emerging, SIDS),</w:t>
      </w:r>
      <w:r>
        <w:t xml:space="preserve"> </w:t>
      </w:r>
      <w:r>
        <w:t xml:space="preserve">“</w:t>
      </w:r>
      <w:r>
        <w:t xml:space="preserve">digital shield</w:t>
      </w:r>
      <w:r>
        <w:t xml:space="preserve">”</w:t>
      </w:r>
      <w:r>
        <w:t xml:space="preserve"> </w:t>
      </w:r>
      <w:r>
        <w:t xml:space="preserve">bù đắp cho thiếu hụt thể chế.</w:t>
      </w:r>
    </w:p>
    <w:p>
      <w:pPr>
        <w:pStyle w:val="BodyText"/>
      </w:pPr>
      <w:r>
        <w:t xml:space="preserve">Điều này có hàm ý lý thuyết quan trọng cho RBV và digital capability văn liệu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34"/>
    <w:bookmarkStart w:id="35"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văn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+0,26 đến +0,43; toàn mẫu 50 nền +0,141; Nhật Bản +0,100; SIDS +0,299), trong khi các tương tác uốn đường cong với cường độ xuất khẩu không đạt ý nghĩa thống kê trên toàn mẫu và chỉ định hình ở một bối cảnh đơn quốc gia. Ngay cả tại SIDS, nơi quan hệ tổng thể là âm đơn điệu, năng lực công nghệ vẫn nâng mặt bằng năng suất nhưng không thể uốn độ dốc âm sang vùng dương,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Văn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I–P qua hai con đường khác nhau, một phát hiện không thể đạt được nếu chúng bị gộp chung.</w:t>
      </w:r>
    </w:p>
    <w:bookmarkEnd w:id="35"/>
    <w:bookmarkStart w:id="36"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một construct lý thuyết mới chưa được định danh trong văn liệu kinh doanh quốc tế, như một hiện tượng lý thuyết độc lập, khác biệt về bản chất với</w:t>
      </w:r>
      <w:r>
        <w:t xml:space="preserve"> </w:t>
      </w:r>
      <w:r>
        <w:t xml:space="preserve">“</w:t>
      </w:r>
      <w:r>
        <w:t xml:space="preserve">phase 1 downward slope</w:t>
      </w:r>
      <w:r>
        <w:t xml:space="preserve">”</w:t>
      </w:r>
      <w:r>
        <w:t xml:space="preserve"> </w:t>
      </w:r>
      <w:r>
        <w:t xml:space="preserve">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w:t>
      </w:r>
      <w:r>
        <w:t xml:space="preserve"> </w:t>
      </w:r>
      <w:r>
        <w:t xml:space="preserve">“</w:t>
      </w:r>
      <w:r>
        <w:t xml:space="preserve">more internationalization</w:t>
      </w:r>
      <w:r>
        <w:t xml:space="preserve">”</w:t>
      </w:r>
      <w:r>
        <w:t xml:space="preserve"> </w:t>
      </w:r>
      <w:r>
        <w:t xml:space="preserve">luôn là</w:t>
      </w:r>
      <w:r>
        <w:t xml:space="preserve"> </w:t>
      </w:r>
      <w:r>
        <w:t xml:space="preserve">“</w:t>
      </w:r>
      <w:r>
        <w:t xml:space="preserve">worse performance</w:t>
      </w:r>
      <w:r>
        <w:t xml:space="preserve">”</w:t>
      </w:r>
      <w:r>
        <w:t xml:space="preserv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w:t>
      </w:r>
      <w:r>
        <w:t xml:space="preserve"> </w:t>
      </w:r>
      <w:r>
        <w:t xml:space="preserve">“</w:t>
      </w:r>
      <w:r>
        <w:t xml:space="preserve">trap</w:t>
      </w:r>
      <w:r>
        <w:t xml:space="preserve">”</w:t>
      </w:r>
      <w:r>
        <w:t xml:space="preserve">, bẫy quốc tế hóa bắt buộc, mà không có điểm uốn để thoát khỏi.</w:t>
      </w:r>
    </w:p>
    <w:bookmarkEnd w:id="36"/>
    <w:bookmarkStart w:id="37" w:name="Xc32e0c91761841c5d26867e9ff33e10da8db64c"/>
    <w:p>
      <w:pPr>
        <w:pStyle w:val="Heading3"/>
      </w:pPr>
      <w:r>
        <w:t xml:space="preserve">5.3.3 ICRV 6-Regime: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Thái Bình Dương, thay thế cho các phân loại binary (developed/emerging) hoặc continuous (WGI scores) trong văn liệu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(Lower-middle transition, đang trong quá trình cải cách) với Campuchia (Emerging, institutional voids cao). ICRV không chỉ là taxonomy mô tả mà còn là taxonomy</w:t>
      </w:r>
      <w:r>
        <w:t xml:space="preserve"> </w:t>
      </w:r>
      <w:r>
        <w:rPr>
          <w:bCs/>
          <w:b/>
        </w:rPr>
        <w:t xml:space="preserve">dự đoán</w:t>
      </w:r>
      <w:r>
        <w:t xml:space="preserve">: điểm uốn I–P</w:t>
      </w:r>
      <w:r>
        <w:t xml:space="preserve"> </w:t>
      </w:r>
      <w:r>
        <w:rPr>
          <w:bCs/>
          <w:b/>
        </w:rPr>
        <w:t xml:space="preserve">giảm</w:t>
      </w:r>
      <w:r>
        <w:t xml:space="preserve"> </w:t>
      </w:r>
      <w:r>
        <w:t xml:space="preserve">đơn điệu theo chiều ba vùng: chữ U ngược định hình ở vùng giữa gradient (Nhóm IV, 43,0%), duỗi thẳng ở biên trên, tan rã ở biên dưới; thể chế càng mạnh, doanh nghiệp đạt đỉnh hiệu quả ở mức quốc tế hóa thấp hơn, xác nhận giá trị dự đoán của phân loại.</w:t>
      </w:r>
    </w:p>
    <w:p>
      <w:r>
        <w:pict>
          <v:rect style="width:0;height:1.5pt" o:hralign="center" o:hrstd="t" o:hr="t"/>
        </w:pict>
      </w:r>
    </w:p>
    <w:bookmarkEnd w:id="37"/>
    <w:bookmarkStart w:id="38"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I–P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văn liệu về vai trò của thể chế công trong chuyển đổi số doanh nghiệp.</w:t>
      </w:r>
    </w:p>
    <w:bookmarkEnd w:id="38"/>
    <w:bookmarkEnd w:id="39"/>
    <w:bookmarkStart w:id="45" w:name="đề-xuất-chính-sách-và-quản-trị"/>
    <w:p>
      <w:pPr>
        <w:pStyle w:val="Heading2"/>
      </w:pPr>
      <w:r>
        <w:t xml:space="preserve">5.4 Đề xuất chính sách và quản trị</w:t>
      </w:r>
    </w:p>
    <w:bookmarkStart w:id="40"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I–P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40"/>
    <w:bookmarkStart w:id="41"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41"/>
    <w:bookmarkStart w:id="42" w:name="X3f7c356bbecb0845bc3ba35928bc46323a69176"/>
    <w:p>
      <w:pPr>
        <w:pStyle w:val="Heading3"/>
      </w:pPr>
      <w:r>
        <w:t xml:space="preserve">5.4.3 Đề xuất đặc biệt cho SIDS: Tránh Bẫy Quốc Tế Hóa Bắt Buộc</w:t>
      </w:r>
    </w:p>
    <w:p>
      <w:pPr>
        <w:pStyle w:val="FirstParagraph"/>
      </w:pPr>
      <w:r>
        <w:t xml:space="preserve">Phát hiện FIP tại bảy quốc gia Pacific SIDS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w:t>
      </w:r>
      <w:r>
        <w:t xml:space="preserve"> </w:t>
      </w:r>
      <w:r>
        <w:t xml:space="preserve">“</w:t>
      </w:r>
      <w:r>
        <w:t xml:space="preserve">bẫy quốc tế hóa bắt buộc</w:t>
      </w:r>
      <w:r>
        <w:t xml:space="preserve">”</w:t>
      </w:r>
      <w:r>
        <w:t xml:space="preserve"> </w:t>
      </w:r>
      <w:r>
        <w:t xml:space="preserve">bằng cách đảm bảo rằng các can thiệp chính sách xây dựng năng lực trước khi thúc đẩy mở rộng thị trường.</w:t>
      </w:r>
    </w:p>
    <w:bookmarkEnd w:id="42"/>
    <w:bookmarkStart w:id="43"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Tier-1,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43"/>
    <w:bookmarkStart w:id="44"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I–P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quan hệ tan rã hoặc đảo sang âm đơn điệu,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logistics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44"/>
    <w:bookmarkEnd w:id="45"/>
    <w:bookmarkStart w:id="51" w:name="hạn-chế-và-hướng-nghiên-cứu-tương-lai"/>
    <w:p>
      <w:pPr>
        <w:pStyle w:val="Heading2"/>
      </w:pPr>
      <w:r>
        <w:t xml:space="preserve">5.5 Hạn chế và hướng nghiên cứu tương lai</w:t>
      </w:r>
    </w:p>
    <w:bookmarkStart w:id="46"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w:t>
      </w:r>
      <w:r>
        <w:t xml:space="preserve"> </w:t>
      </w:r>
      <w:r>
        <w:t xml:space="preserve">“</w:t>
      </w:r>
      <w:r>
        <w:t xml:space="preserve">dynamic</w:t>
      </w:r>
      <w:r>
        <w:t xml:space="preserve">”</w:t>
      </w:r>
      <w:r>
        <w:t xml:space="preserve"> </w:t>
      </w:r>
      <w:r>
        <w:t xml:space="preserve">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46"/>
    <w:bookmarkStart w:id="47" w:name="X0fb0169567c230dc5c1d35515099b26124d99e1"/>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mẫu phụ xuất khẩu N = 84, SIDS exporters-only N = 26)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47"/>
    <w:bookmarkStart w:id="48" w:name="hạn-chế-về-nhân-quả"/>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48"/>
    <w:bookmarkStart w:id="49" w:name="Xaabc0d89d536a1e9410458192adfca25fc5dd1f"/>
    <w:p>
      <w:pPr>
        <w:pStyle w:val="Heading3"/>
      </w:pPr>
      <w:r>
        <w:t xml:space="preserve">5.5.3.1 Hạn chế về bất biến đo lường qua các thế hệ schema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schema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49"/>
    <w:bookmarkStart w:id="50"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Emerging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I–P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I–P.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gradient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gradient ICRV, qua đó lập bản đồ chính xác sự dịch chuyển cơ chế và làm giàu thêm tầng vi mô của khung CDCM.</w:t>
      </w:r>
    </w:p>
    <w:p>
      <w:r>
        <w:pict>
          <v:rect style="width:0;height:1.5pt" o:hralign="center" o:hrstd="t" o:hr="t"/>
        </w:pict>
      </w:r>
    </w:p>
    <w:bookmarkEnd w:id="50"/>
    <w:bookmarkEnd w:id="51"/>
    <w:bookmarkStart w:id="56" w:name="kết-luận"/>
    <w:p>
      <w:pPr>
        <w:pStyle w:val="Heading2"/>
      </w:pPr>
      <w:r>
        <w:t xml:space="preserve">5.6 Kết luận</w:t>
      </w:r>
    </w:p>
    <w:bookmarkStart w:id="52" w:name="tổng-kết-chín-nghiên-cứu"/>
    <w:p>
      <w:pPr>
        <w:pStyle w:val="Heading3"/>
      </w:pPr>
      <w:r>
        <w:t xml:space="preserve">5.6.1 Tổng kết chín nghiên cứu</w:t>
      </w:r>
    </w:p>
    <w:p>
      <w:pPr>
        <w:pStyle w:val="FirstParagraph"/>
      </w:pPr>
      <w:r>
        <w:t xml:space="preserve">Luận án này được xây dựng trên chín nghiên cứu bổ sung cho nhau, kết hợp bằng chứng từ meta-analysis và phân tích thực nghiệm sơ cấp:</w:t>
      </w:r>
    </w:p>
    <w:p>
      <w:pPr>
        <w:numPr>
          <w:ilvl w:val="0"/>
          <w:numId w:val="1002"/>
        </w:numPr>
      </w:pPr>
      <w:r>
        <w:rPr>
          <w:bCs/>
          <w:b/>
        </w:rPr>
        <w:t xml:space="preserve">P1 và P2</w:t>
      </w:r>
      <w:r>
        <w:t xml:space="preserve"> </w:t>
      </w:r>
      <w:r>
        <w:t xml:space="preserve">(đã công bố tại ICBEF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P3</w:t>
      </w:r>
      <w:r>
        <w:t xml:space="preserve">: phân tích Việt Nam (Lower-mid Transition), xác nhận chữ U ngược với TP = 39,3–46,2%, TCI là biến điều tiết dương có ý nghĩa.</w:t>
      </w:r>
    </w:p>
    <w:p>
      <w:pPr>
        <w:numPr>
          <w:ilvl w:val="0"/>
          <w:numId w:val="1002"/>
        </w:numPr>
      </w:pPr>
      <w:r>
        <w:rPr>
          <w:bCs/>
          <w:b/>
        </w:rPr>
        <w:t xml:space="preserve">P4</w:t>
      </w:r>
      <w:r>
        <w:t xml:space="preserve">: phân tích Singapore (Advanced Innovation), xác nhận chữ U ngược với TP ≈ 88,6% (rộng CI), DAI khuếch đại tại mức FSTS cao.</w:t>
      </w:r>
    </w:p>
    <w:p>
      <w:pPr>
        <w:numPr>
          <w:ilvl w:val="0"/>
          <w:numId w:val="1002"/>
        </w:numPr>
      </w:pPr>
      <w:r>
        <w:rPr>
          <w:bCs/>
          <w:b/>
        </w:rPr>
        <w:t xml:space="preserve">P5</w:t>
      </w:r>
      <w:r>
        <w:t xml:space="preserve">: phân tích Trung Quốc 2012–2024 (Upper-middle), xác nhận chữ U ngược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kiểm định toàn mẫu châu Á và Thái Bình Dương trên khung 50 nền,</w:t>
      </w:r>
      <w:r>
        <w:t xml:space="preserve"> </w:t>
      </w:r>
      <m:oMath>
        <m:r>
          <m:t>N</m:t>
        </m:r>
        <m:r>
          <m:rPr>
            <m:sty m:val="p"/>
          </m:rPr>
          <m:t>=</m:t>
        </m:r>
        <m:r>
          <m:t>81.022</m:t>
        </m:r>
      </m:oMath>
      <w:r>
        <w:t xml:space="preserve"> </w:t>
      </w:r>
      <w:r>
        <w:t xml:space="preserve">(M2) /</w:t>
      </w:r>
      <w:r>
        <w:t xml:space="preserve"> </w:t>
      </w:r>
      <m:oMath>
        <m:r>
          <m:t>N</m:t>
        </m:r>
        <m:r>
          <m:rPr>
            <m:sty m:val="p"/>
          </m:rPr>
          <m:t>=</m:t>
        </m:r>
        <m:r>
          <m:t>79.080</m:t>
        </m:r>
      </m:oMath>
      <w:r>
        <w:t xml:space="preserve"> </w:t>
      </w:r>
      <w:r>
        <w:t xml:space="preserve">(M5 với kiểm soát đầy đủ), điểm uốn = 43,6–51,5% (headline M5 =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w:t>
      </w:r>
      <w:r>
        <w:t xml:space="preserve"> </w:t>
      </w:r>
      <m:oMath>
        <m:sSub>
          <m:e>
            <m:r>
              <m:t>p</m:t>
            </m:r>
          </m:e>
          <m:sub>
            <m:r>
              <m:rPr>
                <m:nor/>
                <m:sty m:val="p"/>
              </m:rPr>
              <m:t>LM</m:t>
            </m:r>
          </m:sub>
        </m:sSub>
        <m:r>
          <m:rPr>
            <m:sty m:val="p"/>
          </m:rPr>
          <m:t>&lt;</m:t>
        </m:r>
        <m:r>
          <m:rPr>
            <m:sty m:val="p"/>
          </m:rPr>
          <m:t>,</m:t>
        </m:r>
        <m:r>
          <m:t>001</m:t>
        </m:r>
      </m:oMath>
      <w:r>
        <w:t xml:space="preserve">), gần tuyến tính ở Nhóm I, tan rã ở Nhóm V–VI; TCI nâng mặt bằng (+0,141,</w:t>
      </w:r>
      <w:r>
        <w:t xml:space="preserve"> </w:t>
      </w:r>
      <m:oMath>
        <m:r>
          <m:t>p</m:t>
        </m:r>
        <m:r>
          <m:rPr>
            <m:sty m:val="p"/>
          </m:rPr>
          <m:t>&lt;</m:t>
        </m:r>
        <m:r>
          <m:rPr>
            <m:sty m:val="p"/>
          </m:rPr>
          <m:t>,</m:t>
        </m:r>
        <m:r>
          <m:t>001</m:t>
        </m:r>
      </m:oMath>
      <w:r>
        <w:t xml:space="preserve">), DAI nâng mặt bằng (+0,201,</w:t>
      </w:r>
      <w:r>
        <w:t xml:space="preserve"> </w:t>
      </w:r>
      <m:oMath>
        <m:r>
          <m:t>p</m:t>
        </m:r>
        <m:r>
          <m:rPr>
            <m:sty m:val="p"/>
          </m:rPr>
          <m:t>&lt;</m:t>
        </m:r>
        <m:r>
          <m:rPr>
            <m:sty m:val="p"/>
          </m:rPr>
          <m:t>,</m:t>
        </m:r>
        <m:r>
          <m:t>001</m:t>
        </m:r>
      </m:oMath>
      <w:r>
        <w:t xml:space="preserve">) với tương tác đường cong cùng chiều nhưng không ý nghĩa toàn mẫu.</w:t>
      </w:r>
    </w:p>
    <w:p>
      <w:pPr>
        <w:numPr>
          <w:ilvl w:val="0"/>
          <w:numId w:val="1002"/>
        </w:numPr>
      </w:pPr>
      <w:r>
        <w:rPr>
          <w:bCs/>
          <w:b/>
        </w:rPr>
        <w:t xml:space="preserve">P8</w:t>
      </w:r>
      <w:r>
        <w:t xml:space="preserve">: phân tích bảy nền kinh tế đảo nhỏ đang phát triển Thái Bình Dương (Pacific SIDS),</w:t>
      </w:r>
      <w:r>
        <w:t xml:space="preserve"> </w:t>
      </w:r>
      <m:oMath>
        <m:r>
          <m:t>N</m:t>
        </m:r>
        <m:r>
          <m:rPr>
            <m:sty m:val="p"/>
          </m:rPr>
          <m:t>=</m:t>
        </m:r>
        <m:r>
          <m:t>959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1</m:t>
        </m:r>
        <m:r>
          <m:rPr>
            <m:sty m:val="p"/>
          </m:rPr>
          <m:t>,</m:t>
        </m:r>
        <m:sSup>
          <m:e>
            <m:r>
              <m:t>339</m:t>
            </m:r>
          </m:e>
          <m:sup>
            <m:r>
              <m:rPr>
                <m:sty m:val="p"/>
              </m:rPr>
              <m:t>*</m:t>
            </m:r>
            <m:r>
              <m:rPr>
                <m:sty m:val="p"/>
              </m:rPr>
              <m:t>*</m:t>
            </m:r>
            <m:r>
              <m:rPr>
                <m:sty m:val="p"/>
              </m:rPr>
              <m:t>*</m:t>
            </m:r>
          </m:sup>
        </m:sSup>
      </m:oMath>
      <w:r>
        <w:t xml:space="preserve">, FIP xác nhận, quan hệ âm đơn điệu không có điểm uốn.</w:t>
      </w:r>
    </w:p>
    <w:p>
      <w:pPr>
        <w:numPr>
          <w:ilvl w:val="0"/>
          <w:numId w:val="1002"/>
        </w:numPr>
      </w:pPr>
      <w:r>
        <w:rPr>
          <w:bCs/>
          <w:b/>
        </w:rPr>
        <w:t xml:space="preserve">P9</w:t>
      </w:r>
      <w:r>
        <w:t xml:space="preserve">: phân tích Ấn Độ qua ba đợt WBES 2014–2025 (~29.000 doanh nghiệp), kiểm định độ bền ngưỡng I–P qua thập kỷ chuyển đổi thể chế. Phát hiện sự</w:t>
      </w:r>
      <w:r>
        <w:t xml:space="preserve"> </w:t>
      </w:r>
      <w:r>
        <w:rPr>
          <w:iCs/>
          <w:i/>
        </w:rPr>
        <w:t xml:space="preserve">tan biến</w:t>
      </w:r>
      <w:r>
        <w:t xml:space="preserve"> </w:t>
      </w:r>
      <w:r>
        <w:t xml:space="preserve">điểm uốn chữ U ngược: TP = 61,8% (2014) rồi 40,7% (2022) rồi mất ý nghĩa độ cong (2025: β₂ = −0,16, p = ,42), kèm tương tác DAI Tier-2 (UPI) âm, bằng chứng đầu tiên rằng chuyển đổi thể chế cực mạnh có thể hòa tan (chứ không chỉ dịch chuyển) ngưỡng. Đích MIR/IJOEM; kế thừa công trình tiền đề Do &amp; Phan (2025, IntechOpen).</w:t>
      </w:r>
    </w:p>
    <w:bookmarkEnd w:id="52"/>
    <w:bookmarkStart w:id="53"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ở vùng giữa gradient thể chế, duỗi thẳng ở biên trên và tan rã ở biên dưới, thể chế càng mạnh, điểm uốn càng sớm (FSTS thấp hơn).</w:t>
      </w:r>
    </w:p>
    <w:bookmarkEnd w:id="53"/>
    <w:bookmarkStart w:id="54"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meta-analytic văn liệu về I–P bằng cách phân tách cấu trúc dị biệt và xác định ICRV như biến điều tiết có ý nghĩa; (ii) văn liệu về digital capability bằng cách làm rõ DAI là situational resource chứ không phải foundational capability; và (iii) văn liệu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54"/>
    <w:bookmarkStart w:id="55"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chín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rằng quan hệ I–P là quan hệ có điều kiện theo thể chế, không phải quan hệ phổ quát, là đóng góp cốt lõi mà luận án mang lại cho khoa học quản trị kinh doanh quốc tế.</w:t>
      </w:r>
    </w:p>
    <w:p>
      <w:r>
        <w:pict>
          <v:rect style="width:0;height:1.5pt" o:hralign="center" o:hrstd="t" o:hr="t"/>
        </w:pict>
      </w:r>
    </w:p>
    <w:bookmarkEnd w:id="55"/>
    <w:bookmarkEnd w:id="5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2026-06-16T07:05:49Z</dcterms:created>
  <dcterms:modified xsi:type="dcterms:W3CDTF">2026-06-16T07:05:49Z</dcterms:modified>
</cp:coreProperties>
</file>

<file path=docProps/custom.xml><?xml version="1.0" encoding="utf-8"?>
<Properties xmlns="http://schemas.openxmlformats.org/officeDocument/2006/custom-properties" xmlns:vt="http://schemas.openxmlformats.org/officeDocument/2006/docPropsVTypes"/>
</file>