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2003–2025.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102 cặp quốc gia-năm qua 14 mốc khảo sát WBES giai đoạn 2003–2025.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2003–2025.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 982 firms across 49 Asian and Pacific economies, spanning 102 country-year pairs across 14 WBES survey waves (2003–2025).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2003–2025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49 nền kinh tế tạo thành 102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 2% (2009), 39, 3% (2015), 41, 6% (2023), 39, 7% (tổng hợp); TCI nhân quả qua biến công cụ (β = 1, 639, F bậc một = 22, 1); DAI theo giai đoạn và phụ thuộc chọn lựa (IV null, β = 0, 018). P4 Singapore (Mar, Đỗ &amp; Phan, 2026, MIR under review) phân tích 623 doanh nghiệp WBES 2023, cho thấy điểm uốn hàm ý ở FSTS khoảng 88, 6% và DAI hoạt động như nguồn lực mở rộng tình huống với hệ số DAI×FSTS² = +3, 119 (p = 0, 005). P5 Trung Quốc (Đỗ &amp; Phan, 2026, IJOEM under review) phân tích 4.559 doanh nghiệp WBES hai sóng (2012, 2024) xác nhận chữ U ngược bền vững cấu trúc với điểm uốn 49, 4% (2012) và 47, 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2003–2025.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(5+5+6+7+17+7).</w:t>
      </w:r>
    </w:p>
    <w:p>
      <w:pPr>
        <w:pStyle w:val="BodyText"/>
      </w:pPr>
      <w:r>
        <w:t xml:space="preserve">Phạm vi thời gian: 2003–2025, bao trùm ba thế hệ schema WBES, tạo thành 102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 045 (không đáng kể), nhưng với biến động cao (SD = 0, 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 12, p &lt; 0, 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 04–0, 07) nhưng rất không đồng nhất (SD = 0, 15–0, 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 001 (tổng hợp). Điểm uốn: 46, 2% (2009), 39, 3% (2015), 41, 6% (2023), 39, 7% (tổng hợp). P3 phân tách H1 thành hai mệnh đề: bước nhảy từ không xuất khẩu sang xuất khẩu là biên năng suất chính; trong mẫu chỉ gồm doanh nghiệp xuất khẩu, đường cong gần phẳng. TCI (b8+e6) dương bền vững (β = 0, 179 tổng hợp, p &lt; 0, 001); biến công cụ cho TCI nhân quả (β = 1, 639, F bậc một = 22, 1). DAI phụ thuộc giai đoạn, dương năm 2009 (β = 0, 175), null năm 2015, có tương tác âm năm 2023 (FSTS_c×DAI_z = −0, 912, p = 0, 043); biến công cụ cho DAI null (β = 0, 018, p = 0, 942, F bậc một = 34, 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 6% (vùng thưa dữ liệu; kiểm định Lind–Mehlum p = 0, 303). DAI×FSTS² = +3, 119 (p = 0, 005), DAI là nguồn lực mở rộng tình huống, chỉ phát huy ở FSTS cao nơi nhu cầu điều phối xuyên biên giới dày đặc. TCI dương trực tiếp (β = 0, 153).</w:t>
      </w:r>
    </w:p>
    <w:p>
      <w:pPr>
        <w:pStyle w:val="BodyText"/>
      </w:pPr>
      <w:r>
        <w:t xml:space="preserve">P5 Trung Quốc (Đỗ &amp; Phan, 2026, IJOEM under review): Phân tích 4.559 doanh nghiệp WBES hai sóng (2012, 2024). Chữ U ngược bền vững cấu trúc, điểm uốn 49, 4% (2012), 47, 2% (2024), kiểm định Paternoster cho hệ số FSTS² không có sự khác biệt đáng kể (p = 0, 545). TCI tăng cường theo thời gian (+0, 260 → +0, 426, Paternoster p = 0, 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 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 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 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 001 (dịch chuyển)</w:t>
            </w:r>
          </w:p>
        </w:tc>
        <w:tc>
          <w:tcPr/>
          <w:p>
            <w:pPr>
              <w:pStyle w:val="Compact"/>
              <w:jc w:val="left"/>
            </w:pPr>
            <w:r>
              <w:t xml:space="preserve">Cắt ngang 2023</w:t>
            </w:r>
          </w:p>
        </w:tc>
        <w:tc>
          <w:tcPr/>
          <w:p>
            <w:pPr>
              <w:pStyle w:val="Compact"/>
              <w:jc w:val="left"/>
            </w:pPr>
            <w:r>
              <w:t xml:space="preserve">Paternoster p = 0, 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 179, nhân quả từ IV) và P5 Trung Quốc (TCI tăng cường +0, 260 → +0, 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 119, p = 0, 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 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 179 nhân quả (IV); P5: +0, 260 → +0, 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 119 (Nhóm I); P3: IV null (β = 0, 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 001; P5: TCI Paternoster p = 0, 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92150996274ab00ad3bd5693e38782a96c025a9"/>
    <w:p>
      <w:pPr>
        <w:pStyle w:val="Heading5"/>
      </w:pPr>
      <w:r>
        <w:t xml:space="preserve">Hình 2.1,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5"/>
    <w:bookmarkStart w:id="46" w:name="hình-22-cơ-chế-cdcm-chi-tiết"/>
    <w:p>
      <w:pPr>
        <w:pStyle w:val="Heading5"/>
      </w:pPr>
      <w:r>
        <w:t xml:space="preserve">Hình 2.2,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 119; P4). Nhóm IV (Việt Nam, Lower_mid_transition, bão hòa số thấp; Nhóm IV trong cả hệ 5 nhóm P6 lẫn hệ 6 nhóm CD2): DAI Tier-1 là ràng buộc đo lường; tác động dương theo OLS nhưng biến mất sau hiệu chỉnh nội sinh biến công cụ (β = 0, 018, p = 0, 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46"/>
    <w:bookmarkStart w:id="47"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không có chữ U ngược điển hình.</w:t>
      </w:r>
    </w:p>
    <w:p>
      <w:pPr>
        <w:pStyle w:val="BodyText"/>
      </w:pPr>
      <w:r>
        <w:t xml:space="preserve">Bằng chứng neo đậu: P3 Việt Nam (Nhóm IV): Lind–Mehlum p &lt; 0, 001 (tổng hợp), điểm uốn 39–46%. P5 Trung Quốc (Nhóm III): Lind–Mehlum xác nhận hai sóng, điểm uốn 47–49%. P4 Singapore (Nhóm I): Lind–Mehlum p = 0, 303, chủ yếu dương, điểm uốn ~88, 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 179 (p &lt; 0, 001) bền vững 3 sóng; biến công cụ cho β(TCI) = 1, 639 (p &lt; 0, 001, F bậc một = 22, 1), TCI là nhân quả. P5 Trung Quốc: β_z(TCI) tăng từ +0, 260 (2012) → +0, 426 (2024), Paternoster z = −2, 55 (p = 0, 011), TCI nâng mặt bằng tăng cường theo thời gian. P4 Singapore: β(TCI) = +0, 153 (p &lt; 0, 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 119 (p = 0, 005), DAI mở rộng tình huống có điều kiện. P3 Việt Nam: biến công cụ null β = 0, 018 (p = 0, 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 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 095–0, 175)</w:t>
            </w:r>
          </w:p>
        </w:tc>
        <w:tc>
          <w:tcPr/>
          <w:p>
            <w:pPr>
              <w:pStyle w:val="Compact"/>
              <w:jc w:val="left"/>
            </w:pPr>
            <w:r>
              <w:t xml:space="preserve">Null (β = 0, 018; F bậc một = 34, 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 119, p = 0, 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2"/>
    <w:bookmarkStart w:id="53"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 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 353 giữa 2009 và 2015 (p &lt; 0, 001), quan hệ I→P dịch chuyển đáng kể. P5 Trung Quốc: TCI Paternoster p = 0, 011, hiệu ứng TCI tăng cường 2012→2024. P5 Trung Quốc: FSTS Paternoster p = 0, 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 260 → +0, 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 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 001; P5 TCI p = 0, 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 01 để thêm biến điều tiết; ΔAIC &lt; −2 ủng hộ mô hình phức tạp hơn; ΔBIC &lt; −10 là bằng chứng mạnh; F-test p &lt; 0, 05 để thêm khối biến. M7 được báo cáo nếu ΔAIC(M7 vs M4+M3 kết hợp) &lt; −2 VÀ F-test p &lt; 0, 05.</w:t>
      </w:r>
    </w:p>
    <w:bookmarkEnd w:id="58"/>
    <w:bookmarkStart w:id="59"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59"/>
    <w:bookmarkStart w:id="60"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 i} + \beta_2 \cdot \mathit{FSTS}_{c, 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 i} + \beta_2 \cdot \mathit{FSTS}</w:t>
      </w:r>
      <w:r>
        <w:rPr>
          <w:iCs/>
          <w:i/>
        </w:rPr>
        <w:t xml:space="preserve">{c, i}^{2} + \beta_3 \cdot \mathit{FSTS}</w:t>
      </w:r>
      <w:r>
        <w:t xml:space="preserve">{c, 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Điều tiết TCI (kiểm định H2)</w:t>
      </w:r>
    </w:p>
    <w:p>
      <w:pPr>
        <w:pStyle w:val="FirstParagraph"/>
      </w:pPr>
      <w:r>
        <w:t xml:space="preserve">\begin{align}</w:t>
      </w:r>
      <w:r>
        <w:t xml:space="preserve"> </w:t>
      </w:r>
      <w:r>
        <w:t xml:space="preserve">\ln(\mathrm{LP})</w:t>
      </w:r>
      <w:r>
        <w:rPr>
          <w:iCs/>
          <w:i/>
        </w:rPr>
        <w:t xml:space="preserve">i &amp;= \underbrace{\beta_0 + \beta_1, \mathit{FSTS}</w:t>
      </w:r>
      <w:r>
        <w:t xml:space="preserve">{c, i} + \beta_2, \mathit{FSTS}</w:t>
      </w:r>
      <w:r>
        <w:rPr>
          <w:iCs/>
          <w:i/>
        </w:rPr>
        <w:t xml:space="preserve">{c, i}^{2}}</w:t>
      </w:r>
      <w:r>
        <w:t xml:space="preserve">{M1} \notag \</w:t>
      </w:r>
      <w:r>
        <w:t xml:space="preserve"> </w:t>
      </w:r>
      <w:r>
        <w:t xml:space="preserve">&amp;\quad + \beta_3 \cdot \mathrm{TCI}</w:t>
      </w:r>
      <w:r>
        <w:rPr>
          <w:iCs/>
          <w:i/>
        </w:rPr>
        <w:t xml:space="preserve">i + \beta_4 \cdot (\mathit{FSTS}</w:t>
      </w:r>
      <w:r>
        <w:t xml:space="preserve">{c, i} \times \mathrm{TCI}</w:t>
      </w:r>
      <w:r>
        <w:rPr>
          <w:iCs/>
          <w:i/>
        </w:rPr>
        <w:t xml:space="preserve">i) + \beta_5 \cdot (\mathit{FSTS}</w:t>
      </w:r>
      <w:r>
        <w:t xml:space="preserve">{c, 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 10 → TCI là nâng mặt bằng thuần túy.</w:t>
      </w:r>
    </w:p>
    <w:bookmarkEnd w:id="62"/>
    <w:bookmarkStart w:id="63" w:name="m4--điều-tiết-dai-kiểm-định-h3"/>
    <w:p>
      <w:pPr>
        <w:pStyle w:val="Heading5"/>
      </w:pPr>
      <w:r>
        <w:t xml:space="preserve">M4,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 i} \times \mathrm{DAI}</w:t>
      </w:r>
      <w:r>
        <w:rPr>
          <w:iCs/>
          <w:i/>
        </w:rPr>
        <w:t xml:space="preserve">i) + \beta_5 \cdot (\mathit{FSTS}</w:t>
      </w:r>
      <w:r>
        <w:t xml:space="preserve">{c, 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DAI là nguồn lực mở rộng tình huống.</w:t>
      </w:r>
      <w:r>
        <w:t xml:space="preserve"> </w:t>
      </w:r>
      <w:r>
        <w:t xml:space="preserve">Kỳ vọng: β₅(FSTS²×DAI) &gt; 0 trong Nhóm I (nhất quán P4 Singapore +3, 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5c7f39a1ec7ec3f48219fec0a057f231793407f"/>
    <w:p>
      <w:pPr>
        <w:pStyle w:val="Heading5"/>
      </w:pPr>
      <w:r>
        <w:t xml:space="preserve">M5,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 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4"/>
    <w:bookmarkStart w:id="65" w:name="m6--chế-độ-thể-chế-icrv-kiểm-định-h5"/>
    <w:p>
      <w:pPr>
        <w:pStyle w:val="Heading5"/>
      </w:pPr>
      <w:r>
        <w:t xml:space="preserve">M6,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 i}</w:t>
      </w:r>
      <w:r>
        <w:rPr>
          <w:iCs/>
          <w:i/>
        </w:rPr>
        <w:t xml:space="preserve"> </w:t>
      </w:r>
      <w:r>
        <w:rPr>
          <w:iCs/>
          <w:i/>
        </w:rPr>
        <w:t xml:space="preserve">+ \beta</w:t>
      </w:r>
      <w:r>
        <w:t xml:space="preserve">{4j} \cdot (\mathit{FSTS}</w:t>
      </w:r>
      <w:r>
        <w:rPr>
          <w:iCs/>
          <w:i/>
        </w:rPr>
        <w:t xml:space="preserve">{c, i} \times \mathrm{ICRV}</w:t>
      </w:r>
      <w:r>
        <w:t xml:space="preserve">{j, i})</w:t>
      </w:r>
      <w:r>
        <w:t xml:space="preserve"> </w:t>
      </w:r>
      <w:r>
        <w:t xml:space="preserve">+ \beta_{5j} \cdot (\mathit{FSTS}</w:t>
      </w:r>
      <w:r>
        <w:rPr>
          <w:iCs/>
          <w:i/>
        </w:rPr>
        <w:t xml:space="preserve">{c, i}^{2} \times \mathrm{ICRV}</w:t>
      </w:r>
      <w:r>
        <w:t xml:space="preserve">{j, 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65"/>
    <w:bookmarkStart w:id="66"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 \mathit{FSTS}</w:t>
      </w:r>
      <w:r>
        <w:t xml:space="preserve">{c, i} + \beta_2, \mathit{FSTS}</w:t>
      </w:r>
      <w:r>
        <w:rPr>
          <w:iCs/>
          <w:i/>
        </w:rPr>
        <w:t xml:space="preserve">{c, i}^{2}</w:t>
      </w:r>
      <w:r>
        <w:rPr>
          <w:iCs/>
          <w:i/>
        </w:rPr>
        <w:t xml:space="preserve"> </w:t>
      </w:r>
      <w:r>
        <w:rPr>
          <w:iCs/>
          <w:i/>
        </w:rPr>
        <w:t xml:space="preserve">+ \beta_3, \mathrm{TCI}</w:t>
      </w:r>
      <w:r>
        <w:rPr>
          <w:iCs/>
          <w:i/>
          <w:iCs/>
          <w:i/>
        </w:rPr>
        <w:t xml:space="preserve">i + \beta_4, \mathrm{DAI}</w:t>
      </w:r>
      <w:r>
        <w:rPr>
          <w:iCs/>
          <w:i/>
          <w:iCs/>
          <w:i/>
          <w:iCs/>
          <w:i/>
        </w:rPr>
        <w:t xml:space="preserve">i \notag \</w:t>
      </w:r>
      <w:r>
        <w:rPr>
          <w:iCs/>
          <w:i/>
          <w:iCs/>
          <w:i/>
          <w:iCs/>
          <w:i/>
        </w:rPr>
        <w:t xml:space="preserve"> </w:t>
      </w:r>
      <w:r>
        <w:rPr>
          <w:iCs/>
          <w:i/>
          <w:iCs/>
          <w:i/>
          <w:iCs/>
          <w:i/>
        </w:rPr>
        <w:t xml:space="preserve">&amp;\quad + \beta_5, (\mathit{FSTS}</w:t>
      </w:r>
      <w:r>
        <w:rPr>
          <w:iCs/>
          <w:i/>
          <w:iCs/>
          <w:i/>
        </w:rPr>
        <w:t xml:space="preserve">{c, i} \times \mathrm{TCI}</w:t>
      </w:r>
      <w:r>
        <w:rPr>
          <w:iCs/>
          <w:i/>
          <w:iCs/>
          <w:i/>
          <w:iCs/>
          <w:i/>
        </w:rPr>
        <w:t xml:space="preserve">i)</w:t>
      </w:r>
      <w:r>
        <w:rPr>
          <w:iCs/>
          <w:i/>
          <w:iCs/>
          <w:i/>
          <w:iCs/>
          <w:i/>
        </w:rPr>
        <w:t xml:space="preserve"> </w:t>
      </w:r>
      <w:r>
        <w:rPr>
          <w:iCs/>
          <w:i/>
          <w:iCs/>
          <w:i/>
          <w:iCs/>
          <w:i/>
        </w:rPr>
        <w:t xml:space="preserve">+ \beta_6, (\mathit{FSTS}</w:t>
      </w:r>
      <w:r>
        <w:rPr>
          <w:iCs/>
          <w:i/>
          <w:iCs/>
          <w:i/>
        </w:rPr>
        <w:t xml:space="preserve">{c, i}^{2} \times \mathrm{TCI}</w:t>
      </w:r>
      <w:r>
        <w:rPr>
          <w:iCs/>
          <w:i/>
          <w:iCs/>
          <w:i/>
          <w:iCs/>
          <w:i/>
        </w:rPr>
        <w:t xml:space="preserve">i) \notag \</w:t>
      </w:r>
      <w:r>
        <w:rPr>
          <w:iCs/>
          <w:i/>
          <w:iCs/>
          <w:i/>
          <w:iCs/>
          <w:i/>
        </w:rPr>
        <w:t xml:space="preserve"> </w:t>
      </w:r>
      <w:r>
        <w:rPr>
          <w:iCs/>
          <w:i/>
          <w:iCs/>
          <w:i/>
          <w:iCs/>
          <w:i/>
        </w:rPr>
        <w:t xml:space="preserve">&amp;\quad + \beta_7, (\mathit{FSTS}</w:t>
      </w:r>
      <w:r>
        <w:rPr>
          <w:iCs/>
          <w:i/>
          <w:iCs/>
          <w:i/>
        </w:rPr>
        <w:t xml:space="preserve">{c, i} \times \mathrm{DAI}</w:t>
      </w:r>
      <w:r>
        <w:rPr>
          <w:iCs/>
          <w:i/>
          <w:iCs/>
          <w:i/>
          <w:iCs/>
          <w:i/>
        </w:rPr>
        <w:t xml:space="preserve">i)</w:t>
      </w:r>
      <w:r>
        <w:rPr>
          <w:iCs/>
          <w:i/>
          <w:iCs/>
          <w:i/>
          <w:iCs/>
          <w:i/>
        </w:rPr>
        <w:t xml:space="preserve"> </w:t>
      </w:r>
      <w:r>
        <w:rPr>
          <w:iCs/>
          <w:i/>
          <w:iCs/>
          <w:i/>
          <w:iCs/>
          <w:i/>
        </w:rPr>
        <w:t xml:space="preserve">+ \beta_8, (\mathit{FSTS}</w:t>
      </w:r>
      <w:r>
        <w:rPr>
          <w:iCs/>
          <w:i/>
          <w:iCs/>
          <w:i/>
        </w:rPr>
        <w:t xml:space="preserve">{c, i}^{2} \times \mathrm{DAI}</w:t>
      </w:r>
      <w:r>
        <w:rPr>
          <w:iCs/>
          <w:i/>
          <w:iCs/>
          <w:i/>
          <w:iCs/>
          <w:i/>
        </w:rPr>
        <w:t xml:space="preserve">i) \notag \</w:t>
      </w:r>
      <w:r>
        <w:rPr>
          <w:iCs/>
          <w:i/>
          <w:iCs/>
          <w:i/>
          <w:iCs/>
          <w:i/>
        </w:rPr>
        <w:t xml:space="preserve"> </w:t>
      </w:r>
      <w:r>
        <w:rPr>
          <w:iCs/>
          <w:i/>
          <w:iCs/>
          <w:i/>
          <w:iCs/>
          <w:i/>
        </w:rPr>
        <w:t xml:space="preserve">&amp;\quad + \beta_9, (\mathit{FSTS}</w:t>
      </w:r>
      <w:r>
        <w:rPr>
          <w:iCs/>
          <w:i/>
          <w:iCs/>
          <w:i/>
        </w:rPr>
        <w:t xml:space="preserve">{c, 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 (\mathit{FSTS}</w:t>
      </w:r>
      <w:r>
        <w:rPr>
          <w:iCs/>
          <w:i/>
          <w:iCs/>
          <w:i/>
        </w:rPr>
        <w:t xml:space="preserve">{c, i} \times YB</w:t>
      </w:r>
      <w:r>
        <w:rPr>
          <w:iCs/>
          <w:i/>
        </w:rPr>
        <w:t xml:space="preserve">{2013\text{-}17, i})</w:t>
      </w:r>
      <w:r>
        <w:rPr>
          <w:iCs/>
          <w:i/>
        </w:rPr>
        <w:t xml:space="preserve"> </w:t>
      </w:r>
      <w:r>
        <w:rPr>
          <w:iCs/>
          <w:i/>
        </w:rPr>
        <w:t xml:space="preserve">+ \beta</w:t>
      </w:r>
      <w:r>
        <w:t xml:space="preserve">{11}, (\mathit{FSTS}</w:t>
      </w:r>
      <w:r>
        <w:rPr>
          <w:iCs/>
          <w:i/>
        </w:rPr>
        <w:t xml:space="preserve">{c, i}^{2} \times YB</w:t>
      </w:r>
      <w:r>
        <w:t xml:space="preserve">{2013\text{-}17, i}) \notag \</w:t>
      </w:r>
      <w:r>
        <w:t xml:space="preserve"> </w:t>
      </w:r>
      <w:r>
        <w:t xml:space="preserve">&amp;\quad + \beta_{12}, (\mathit{FSTS}</w:t>
      </w:r>
      <w:r>
        <w:rPr>
          <w:iCs/>
          <w:i/>
        </w:rPr>
        <w:t xml:space="preserve">{c, i} \times YB</w:t>
      </w:r>
      <w:r>
        <w:t xml:space="preserve">{2018\text{-}25, i})</w:t>
      </w:r>
      <w:r>
        <w:t xml:space="preserve"> </w:t>
      </w:r>
      <w:r>
        <w:t xml:space="preserve">+ \beta_{13}, (\mathit{FSTS}</w:t>
      </w:r>
      <w:r>
        <w:rPr>
          <w:iCs/>
          <w:i/>
        </w:rPr>
        <w:t xml:space="preserve">{c, i}^{2} \times YB</w:t>
      </w:r>
      <w:r>
        <w:t xml:space="preserve">{2018\text{-}25, 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 80 tại f² = 0, 02, dễ dàng đáp ứng với pool 91.982.</w:t>
      </w:r>
    </w:p>
    <w:bookmarkEnd w:id="66"/>
    <w:bookmarkStart w:id="67"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91.982 doanh nghiệp chính thức; 49 nền kinh tế châu Á và Thái Bình Dương; 102 cặp quốc gia-năm; 14 mốc khảo sát từ 2003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w:t>
            </w:r>
          </w:p>
        </w:tc>
        <w:tc>
          <w:tcPr/>
          <w:p>
            <w:pPr>
              <w:pStyle w:val="Compact"/>
              <w:jc w:val="left"/>
            </w:pPr>
            <w:r>
              <w:t xml:space="preserve">Fiji, Kiribati, Papua New Guinea, Samoa, Solomon Islands, Timor-Leste, Tonga, Vanuatu, Comoros</w:t>
            </w:r>
          </w:p>
        </w:tc>
        <w:tc>
          <w:tcPr/>
          <w:p>
            <w:pPr>
              <w:pStyle w:val="Compact"/>
              <w:jc w:val="left"/>
            </w:pPr>
            <w:r>
              <w:t xml:space="preserve">9</w:t>
            </w:r>
          </w:p>
        </w:tc>
        <w:tc>
          <w:tcPr/>
          <w:p>
            <w:pPr>
              <w:pStyle w:val="Compact"/>
              <w:jc w:val="left"/>
            </w:pPr>
            <w:r>
              <w:t xml:space="preserve">~2.038</w:t>
            </w:r>
          </w:p>
        </w:tc>
        <w:tc>
          <w:tcPr/>
          <w:p>
            <w:pPr>
              <w:pStyle w:val="Compact"/>
              <w:jc w:val="left"/>
            </w:pPr>
            <w:r>
              <w:t xml:space="preserve">~11</w:t>
            </w:r>
          </w:p>
        </w:tc>
      </w:tr>
      <w:tr>
        <w:tc>
          <w:tcPr/>
          <w:p>
            <w:pPr>
              <w:pStyle w:val="Compact"/>
              <w:jc w:val="left"/>
            </w:pPr>
            <w:r>
              <w:t xml:space="preserve">Tổng</w:t>
            </w:r>
          </w:p>
        </w:tc>
        <w:tc>
          <w:tcPr/>
          <w:p>
            <w:pPr>
              <w:pStyle w:val="Compact"/>
            </w:pPr>
          </w:p>
        </w:tc>
        <w:tc>
          <w:tcPr/>
          <w:p>
            <w:pPr>
              <w:pStyle w:val="Compact"/>
              <w:jc w:val="left"/>
            </w:pPr>
            <w:r>
              <w:t xml:space="preserve">49</w:t>
            </w:r>
          </w:p>
        </w:tc>
        <w:tc>
          <w:tcPr/>
          <w:p>
            <w:pPr>
              <w:pStyle w:val="Compact"/>
              <w:jc w:val="left"/>
            </w:pPr>
            <w:r>
              <w:t xml:space="preserve">~91.982</w:t>
            </w:r>
          </w:p>
        </w:tc>
        <w:tc>
          <w:tcPr/>
          <w:p>
            <w:pPr>
              <w:pStyle w:val="Compact"/>
              <w:jc w:val="left"/>
            </w:pPr>
            <w:r>
              <w:t xml:space="preserve">102</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 55–0, 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49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2003–2025 (ngưỡng kiểm tra: chuyển nhóm nếu GNI/người vượt ngưỡng ±15% trong ≥3 năm liên tiếp,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 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 4) vẽ ln(LP) ~ FSTS, nếu hình dạng visual nhất quán với chữ U ngược → bằng chứng xác nhận không phụ thuộc giả định phân phối.</w:t>
      </w:r>
    </w:p>
    <w:p>
      <w:pPr>
        <w:pStyle w:val="BodyText"/>
      </w:pPr>
      <w:r>
        <w:t xml:space="preserve">Tầng 4, Nhân rộng mẫu con: Pool đủ lớn (91.982)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 1; 3, 0]; β₂(FSTS²) trong khoảng [−2, 5; −0, 1]; điểm uốn trong khoảng [20%; 90%]; β(TCI) trong khoảng [0, 05; 0, 5]; β(FSTS²×DAI) Nhóm I trong khoảng [0, 5; 6, 0].</w:t>
      </w:r>
    </w:p>
    <w:p>
      <w:pPr>
        <w:pStyle w:val="BodyText"/>
      </w:pPr>
      <w:r>
        <w:t xml:space="preserve">Quy trình báo cáo: nếu ≥4/6 nhóm R1–R6 cho kết quả nhất quán với chuẩn (dấu đúng, p &lt; 0, 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 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102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mức độ số hóa cấp quốc gia khuếch đại lợi ích quốc tế hóa; (ii) ICRV 6 nhóm cho châu Á-Thái Bình Dương thay vì phân loại toàn cầu thô trong Marano et al. (2016); (iii) DPL phase,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P7: Kiểm định H1–H6 toàn pool 49 nền kinh tế (JIBS, under revision):</w:t>
      </w:r>
      <w:r>
        <w:t xml:space="preserve"> </w:t>
      </w:r>
      <w:r>
        <w:t xml:space="preserve">P7 đã hoàn thành, N=84, 910–91, 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gánh nặng tắt buộc (World Development, under revision):</w:t>
      </w:r>
      <w:r>
        <w:t xml:space="preserve"> </w:t>
      </w:r>
      <w:r>
        <w:t xml:space="preserve">P8 đã hoàn thành, N=1.469 doanh nghiệp, 9 nước SIDS (Nhóm VI ICRV: Fiji, Kiribati, PNG, Samoa, Solomon Islands, Tonga, Vanuatu + Comoros + Timor-Leste), β(FSTS_c)=−0, 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119"/>
    <w:bookmarkStart w:id="120"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 001 tổng hợp); điểm uốn 46, 2% (2009), 39, 3% (2015), 41, 6% (2023), 39, 7% (tổng hợp); TCI nhân quả (β = 1, 639, F bậc một = 22, 1); DAI phụ thuộc chọn lựa (β_IV = 0, 018, F bậc một = 34, 6); Paternoster z = 3, 353 giữa điểm uốn 2009 và 2015 (p &lt; 0, 001).</w:t>
      </w:r>
    </w:p>
    <w:p>
      <w:pPr>
        <w:pStyle w:val="BodyText"/>
      </w:pPr>
      <w:r>
        <w:t xml:space="preserve">P4, Singapore (MIR, under review): Mar, K. S., Đỗ, T. H., &amp; Phan, A. T. (2026). Phân tích 623 doanh nghiệp WBES 2023. Kết quả chính: đường cong I→P chủ yếu dương; điểm uốn hàm ý ~88, 6% (vùng thưa dữ liệu; Lind–Mehlum p = 0, 303); DAI×FSTS² = +3, 119 (p = 0, 005), DAI là nguồn lực mở rộng tình huống; TCI β = 0, 153.</w:t>
      </w:r>
    </w:p>
    <w:p>
      <w:pPr>
        <w:pStyle w:val="BodyText"/>
      </w:pPr>
      <w:r>
        <w:t xml:space="preserve">P5, Trung Quốc (IJOEM, under review): Đỗ, T. H., &amp; Phan, A. T. (2026). Phân tích 4.559 doanh nghiệp WBES hai sóng 2012/2024. Kết quả chính: chữ U ngược bền vững cấu trúc, điểm uốn 49, 4% (2012), 47, 2% (2024), Paternoster FSTS² p = 0, 545 (không có sự khác biệt đáng kể); TCI tăng cường theo thời gian (+0, 260 → +0, 426, Paternoster p = 0, 011).</w:t>
      </w:r>
    </w:p>
    <w:bookmarkEnd w:id="120"/>
    <w:bookmarkStart w:id="121"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 001; ** p &lt; 0, 01; * p &lt; 0, 05; † p &lt; 0, 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2026-06-08T01:50:17Z</dcterms:created>
  <dcterms:modified xsi:type="dcterms:W3CDTF">2026-06-08T01:50:17Z</dcterms:modified>
</cp:coreProperties>
</file>

<file path=docProps/custom.xml><?xml version="1.0" encoding="utf-8"?>
<Properties xmlns="http://schemas.openxmlformats.org/officeDocument/2006/custom-properties" xmlns:vt="http://schemas.openxmlformats.org/officeDocument/2006/docPropsVTypes"/>
</file>