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(centred-scale inflection,</w:t>
            </w:r>
            <w:r>
              <w:t xml:space="preserve"> </w:t>
            </w:r>
            <m:oMath>
              <m:sSup>
                <m:e>
                  <m:r>
                    <m:rPr>
                      <m:sty m:val="p"/>
                    </m:rPr>
                    <m:t>F</m:t>
                  </m:r>
                  <m:r>
                    <m:rPr>
                      <m:sty m:val="p"/>
                    </m:rPr>
                    <m:t>S</m:t>
                  </m:r>
                  <m:r>
                    <m:rPr>
                      <m:sty m:val="p"/>
                    </m:rPr>
                    <m:t>T</m:t>
                  </m:r>
                  <m:r>
                    <m:rPr>
                      <m:sty m:val="p"/>
                    </m:rPr>
                    <m:t>S</m:t>
                  </m:r>
                </m:e>
                <m:sup>
                  <m:r>
                    <m:t>c</m:t>
                  </m:r>
                </m:sup>
              </m:sSup>
            </m:oMath>
            <w:r>
              <w:t xml:space="preserve">)</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 The turning-point row reports the inflection on the wave-centred scale (</w:t>
      </w:r>
      <m:oMath>
        <m:sSup>
          <m:e>
            <m:r>
              <m:rPr>
                <m:sty m:val="p"/>
              </m:rPr>
              <m:t>F</m:t>
            </m:r>
            <m:r>
              <m:rPr>
                <m:sty m:val="p"/>
              </m:rPr>
              <m:t>S</m:t>
            </m:r>
            <m:r>
              <m:rPr>
                <m:sty m:val="p"/>
              </m:rPr>
              <m:t>T</m:t>
            </m:r>
            <m:r>
              <m:rPr>
                <m:sty m:val="p"/>
              </m:rPr>
              <m:t>S</m:t>
            </m:r>
          </m:e>
          <m:sup>
            <m:r>
              <m:t>c</m:t>
            </m:r>
          </m:sup>
        </m:sSup>
      </m:oMath>
      <w:r>
        <w:t xml:space="preserve">); the corresponding raw-FSTS turning points (46.2%, 39.3%, 41.6%, 39.7%; range 39–46%) with delta-method confidence intervals are reported in Table 4.</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 -2.115, p = .004 in M2) but the digital channel</w:t>
      </w:r>
    </w:p>
    <w:p>
      <w:pPr>
        <w:pStyle w:val="BodyText"/>
      </w:pPr>
      <w:r>
        <w:t xml:space="preserve">I–P curvature is unusually sharp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term is negative (β = -1.909, p &lt; .001); the Lind–Mehlum</w:t>
      </w:r>
    </w:p>
    <w:p>
      <w:pPr>
        <w:pStyle w:val="BodyText"/>
      </w:pPr>
      <w:r>
        <w:t xml:space="preserve">&lt; .001) and the quadratic</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Heckman, 1979; Certo et al., 2016; Wolfolds &amp; Siegel, 2019)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Sample selection bias and Heckman models in strategic management research.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MacKinnon, J. G. and White, H. (1985). Some heteroskedasticity-consistent covariance matrix estimators with improved finite sample properties. Journal of Econometrics, 29(3):305–325.</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2026-06-15T01:47:39Z</dcterms:created>
  <dcterms:modified xsi:type="dcterms:W3CDTF">2026-06-15T01:47:39Z</dcterms:modified>
</cp:coreProperties>
</file>

<file path=docProps/custom.xml><?xml version="1.0" encoding="utf-8"?>
<Properties xmlns="http://schemas.openxmlformats.org/officeDocument/2006/custom-properties" xmlns:vt="http://schemas.openxmlformats.org/officeDocument/2006/docPropsVTypes"/>
</file>