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Drawing on World Bank Enterprise Survey microdata for China (base wave samples 2012, N = 2,619; 2024, N = 1,940; pooled N = 4,559; focal‑complete analytic samples in Tables 1–2 are marginally smaller after listwise deletion, see Section 3.1), we estimate quadratic models with full cross-wave and capability interactions. The data support</w:t>
      </w:r>
      <w:r>
        <w:t xml:space="preserve"> </w:t>
      </w:r>
      <w:r>
        <w:rPr>
          <w:bCs/>
          <w:b/>
        </w:rPr>
        <w:t xml:space="preserve">H2b (structural durability)</w:t>
      </w:r>
      <w:r>
        <w:t xml:space="preserve"> </w:t>
      </w:r>
      <w:r>
        <w:t xml:space="preserve">over</w:t>
      </w:r>
      <w:r>
        <w:t xml:space="preserve"> </w:t>
      </w:r>
      <w:r>
        <w:rPr>
          <w:bCs/>
          <w:b/>
        </w:rPr>
        <w:t xml:space="preserve">H2a (environmental shift)</w:t>
      </w:r>
      <w:r>
        <w:t xml:space="preserve">: cross‑wave Paternoster (1998) z‑tests do not reject equality of the linear and squared export‑intensity coefficients (FSTS z = +0.82, p = .412;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.545), and the pooled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yields F(2, 3,558) = 2.24, p = .107.</w:t>
      </w:r>
    </w:p>
    <w:p>
      <w:pPr>
        <w:pStyle w:val="BodyText"/>
      </w:pPr>
      <w:r>
        <w:rPr>
          <w:bCs/>
          <w:b/>
        </w:rPr>
        <w:t xml:space="preserve">Findings.</w:t>
      </w:r>
      <w:r>
        <w:t xml:space="preserve"> </w:t>
      </w:r>
      <w:r>
        <w:t xml:space="preserve">Estimated turning points remain in a remarkably tight range, 49.4 % of total sales in 2012, 47.2 % in 2024, and 48.8 % in the pooled sample, with overlapping 95 % delta‑method confidence intervals. Technological capability is robustly associated with higher productivity in both waves (β_z = +0.26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rPr>
          <w:bCs/>
          <w:b/>
        </w:rPr>
        <w:t xml:space="preserve">Originality/value.</w:t>
      </w:r>
      <w:r>
        <w:t xml:space="preserve"> </w:t>
      </w:r>
      <w:r>
        <w:rPr>
          <w:bCs/>
          <w:b/>
        </w:rPr>
        <w:t xml:space="preserve">H2b (structural durability) is confirmed over H2a (environmental shift)</w:t>
      </w:r>
      <w:r>
        <w:t xml:space="preserve">: despite substantial structural change in China between 2012 and 2024, cross-wave tests support the thesis that the Chinese internationalization–performance trade-off is</w:t>
      </w:r>
      <w:r>
        <w:t xml:space="preserve"> </w:t>
      </w:r>
      <w:r>
        <w:rPr>
          <w:bCs/>
          <w:b/>
        </w:rPr>
        <w:t xml:space="preserve">durably structural rather than wave-specific or capability-conditioned</w:t>
      </w:r>
      <w:r>
        <w:t xml:space="preserve">. The contribution recasts the inverted-U threshold from a sample-specific regularity into an enduring structural feature of the setting; null capability curvature moderation and unstable working-capital analyses reinforce this interpretation. The findings also extend the China-specific cubic baseline of Author Citation (2026, JFAR) and the multi-country emerging-Asia synthesis of Author Citation (2026,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including several meta‑analyses spanning multiple decades and country contexts,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Author Citation, 2025, ICBEF),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 "too‑much‑of‑a‑good‑thing" 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corresponding to roughly a 64 % productivity premium in level terms (exp(0.49) ≈ 1.64). Under conventional internationalization theory, several of these changes should have shifted the inverted‑U turning point,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Whereas Author Citation (2026,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such as cash‑conversion lengthening, foreign‑receivables exposure, and credit‑constraint binding for trade‑finance access,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temporal stability, financial mechanism, and capability role,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Author Citation (2026, JFAR) for Chinese manufacturing SMEs by extending the analysis to the full WBES private-firm frame and to a second wave a decade later. Second, and as the paper's central contribution,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ICBEF).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and Chen and Tan (2012) show that the relationship varies systematically across Chinese regions.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base wave samples are 2,619 firms in 2012, 1,940 firms in 2024, and 4,559 firm‑year observations in the pooled sample.</w:t>
      </w:r>
    </w:p>
    <w:p>
      <w:pPr>
        <w:pStyle w:val="BodyText"/>
      </w:pPr>
      <w:r>
        <w:t xml:space="preserve">The analysis uses three nested sample tiers that the reader should keep distinct. The base wave samples comprise 2,619 (2012) and 1,940 (2024) firms (pooled 4,559) and are the figures cited in the abstract and throughout the running text; applying listwise deletion across the full focal regressor set (</w:t>
      </w:r>
      <m:oMath>
        <m:r>
          <m:rPr>
            <m:sty m:val="p"/>
          </m:rPr>
          <m:t>ln</m:t>
        </m:r>
        <m:d>
          <m:dPr>
            <m:begChr m:val="("/>
            <m:endChr m:val=")"/>
            <m:sepChr m:val=""/>
            <m:grow/>
          </m:dPr>
          <m:e>
            <m:r>
              <m:rPr>
                <m:sty m:val="p"/>
              </m:rPr>
              <m:t>L</m:t>
            </m:r>
            <m:r>
              <m:rPr>
                <m:sty m:val="p"/>
              </m:rPr>
              <m:t>P</m:t>
            </m:r>
          </m:e>
        </m:d>
      </m:oMath>
      <w:r>
        <w:t xml:space="preserve">,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yields the slightly smaller focal‑complete analytic samples reported in Tables 1–2 (2,610 in 2012, 1,934 in 2024, pooled 4,544); and the capability‑complete subsample used for the three‑way interaction model (sample_full), which additionally requires non‑missing</w:t>
      </w:r>
      <w:r>
        <w:t xml:space="preserve"> </w:t>
      </w:r>
      <m:oMath>
        <m:sSub>
          <m:e>
            <m:r>
              <m:rPr>
                <m:sty m:val="p"/>
              </m:rPr>
              <m:t>T</m:t>
            </m:r>
            <m:r>
              <m:rPr>
                <m:sty m:val="p"/>
              </m:rPr>
              <m:t>C</m:t>
            </m:r>
            <m:r>
              <m:rPr>
                <m:sty m:val="p"/>
              </m:rPr>
              <m:t>I</m:t>
            </m:r>
          </m:e>
          <m:sub>
            <m:r>
              <m:rPr>
                <m:nor/>
                <m:sty m:val="p"/>
              </m:rPr>
              <m:t>full</m:t>
            </m:r>
          </m:sub>
        </m:sSub>
      </m:oMath>
      <w:r>
        <w:t xml:space="preserve"> </w:t>
      </w:r>
      <w:r>
        <w:t xml:space="preserve">items, is N = 3,559 (Table 3). The three tiers differ only by the breadth of the listwise‑deletion filter, not by any change to the underlying data, sampling frame, or coding; the small N differences across tiers reflect these progressively stricter completeness requirements.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descriptive pooled sample (sample_base, N = 4,559 reported in Table 1 and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by wave (focal‑complete analytic sample after listwise deletion; cf. base wave N in Section 3.1)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(Author Citation, 2025, ICBEF; Bausch &amp; Krist, 2007; Kirca et al., 2012; Marano et al., 2016; Schwens et al., 2018),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ICBEF). A natural next step in our broader research stream is the multi-country replication of the threshold-stability test on WBES data for Vietnam, Indonesia, India, and other emerging-Asia settings (Author Citation, 2026,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9"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9">
        <w:r>
          <w:rPr>
            <w:rStyle w:val="Hyperlink"/>
          </w:rPr>
          <w:t xml:space="preserve">https://doi.org/10.1002/smj.3087</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100">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1">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2">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3">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4">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5">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6">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7">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7">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8">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109"/>
    <w:bookmarkStart w:id="11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code refactoring, and reference formatting. All research design, variable construction, model specification, estimation, interpretation, and scientific conclusions are the authors' own work and responsibility. No result was accepted on an AI's assertion; all reported quantitative results are reproducible from the replication package.</w:t>
      </w:r>
    </w:p>
    <w:bookmarkEnd w:id="110"/>
    <w:bookmarkEnd w:id="11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99" Target="https://doi.org/10.1002/smj.3087" TargetMode="External" /><Relationship Type="http://schemas.openxmlformats.org/officeDocument/2006/relationships/hyperlink" Id="rId102"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8" Target="https://doi.org/10.1016/j.intman.2012.12.003" TargetMode="External" /><Relationship Type="http://schemas.openxmlformats.org/officeDocument/2006/relationships/hyperlink" Id="rId103"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4"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5"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6"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100"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7"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99" Target="https://doi.org/10.1002/smj.3087" TargetMode="External" /><Relationship Type="http://schemas.openxmlformats.org/officeDocument/2006/relationships/hyperlink" Id="rId102"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8" Target="https://doi.org/10.1016/j.intman.2012.12.003" TargetMode="External" /><Relationship Type="http://schemas.openxmlformats.org/officeDocument/2006/relationships/hyperlink" Id="rId103"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4"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5"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6"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100"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7"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2026-06-15T01:47:40Z</dcterms:created>
  <dcterms:modified xsi:type="dcterms:W3CDTF">2026-06-15T01:47:40Z</dcterms:modified>
</cp:coreProperties>
</file>

<file path=docProps/custom.xml><?xml version="1.0" encoding="utf-8"?>
<Properties xmlns="http://schemas.openxmlformats.org/officeDocument/2006/custom-properties" xmlns:vt="http://schemas.openxmlformats.org/officeDocument/2006/docPropsVTypes"/>
</file>