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 treated as a formative composite (Diamantopoulos &amp; Winklhofer, 2001; Jarvis, MacKenzie, &amp; Podsakoff, 2003).</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7775d9c2e75aeee42b06c6b53779c3c2e708831"/>
    <w:p>
      <w:pPr>
        <w:pStyle w:val="Heading3"/>
      </w:pPr>
      <w:r>
        <w:t xml:space="preserve">Table 3. Robustness: Exporters-Only Subsample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2026-06-15T01:47:38Z</dcterms:created>
  <dcterms:modified xsi:type="dcterms:W3CDTF">2026-06-15T01:47:38Z</dcterms:modified>
</cp:coreProperties>
</file>

<file path=docProps/custom.xml><?xml version="1.0" encoding="utf-8"?>
<Properties xmlns="http://schemas.openxmlformats.org/officeDocument/2006/custom-properties" xmlns:vt="http://schemas.openxmlformats.org/officeDocument/2006/docPropsVTypes"/>
</file>