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 mô hình Uppsala, lý thuyết dựa trên nguồn lực (RBV), lý thuyết thể chế và lý thuyết thượng tầng quản trị —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w:t>
      </w:r>
      <w:r>
        <w:t xml:space="preserve"> </w:t>
      </w:r>
      <w:r>
        <w:t xml:space="preserve">“</w:t>
      </w:r>
      <w:r>
        <w:t xml:space="preserve">lá chắn số</w:t>
      </w:r>
      <w:r>
        <w:t xml:space="preserve">”</w:t>
      </w:r>
      <w:r>
        <w:t xml:space="preserve">); (3) tại nhóm SIDS, quan hệ I–P chuyển thành âm đơn điệu không có điểm uốn —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 the Uppsala model, the resource-based view (RBV), institutional theory, and upper echelons theory —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India) and a boundary case of seven Pacific Small Island Developing States (SIDS).</w:t>
      </w:r>
    </w:p>
    <w:p>
      <w:pPr>
        <w:pStyle w:val="BodyText"/>
      </w:pPr>
      <w:r>
        <w:t xml:space="preserve">Key findings: (1) the I–P relationship is inverted-U shaped, but the turning point is not fixed —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w:t>
      </w:r>
      <w:r>
        <w:t xml:space="preserve"> </w:t>
      </w:r>
      <w:r>
        <w:t xml:space="preserve">“</w:t>
      </w:r>
      <w:r>
        <w:t xml:space="preserve">digital shield</w:t>
      </w:r>
      <w:r>
        <w:t xml:space="preserve">”</w:t>
      </w:r>
      <w:r>
        <w:t xml:space="preserve"> </w:t>
      </w:r>
      <w:r>
        <w:t xml:space="preserve">effect); (3) in the SIDS group the relationship becomes monotonically negative with no turning point —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iCs/>
          <w:i/>
        </w:rPr>
        <w:t xml:space="preserve">(Tự động cập nhật khi xuất bản; cấu trúc tóm tắt)</w:t>
      </w:r>
    </w:p>
    <w:p>
      <w:pPr>
        <w:numPr>
          <w:ilvl w:val="0"/>
          <w:numId w:val="1001"/>
        </w:numPr>
        <w:pStyle w:val="Compact"/>
      </w:pPr>
      <w:r>
        <w:t xml:space="preserve">Chương 1. Giới thiệu</w:t>
      </w:r>
    </w:p>
    <w:p>
      <w:pPr>
        <w:numPr>
          <w:ilvl w:val="0"/>
          <w:numId w:val="1001"/>
        </w:numPr>
        <w:pStyle w:val="Compact"/>
      </w:pPr>
      <w:r>
        <w:t xml:space="preserve">Chương 2. Cơ sở lý thuyết và tổng quan tài liệu</w:t>
      </w:r>
    </w:p>
    <w:p>
      <w:pPr>
        <w:numPr>
          <w:ilvl w:val="0"/>
          <w:numId w:val="1001"/>
        </w:numPr>
        <w:pStyle w:val="Compact"/>
      </w:pPr>
      <w:r>
        <w:t xml:space="preserve">Chương 3. Phương pháp nghiên cứu</w:t>
      </w:r>
    </w:p>
    <w:p>
      <w:pPr>
        <w:numPr>
          <w:ilvl w:val="0"/>
          <w:numId w:val="1001"/>
        </w:numPr>
        <w:pStyle w:val="Compact"/>
      </w:pPr>
      <w:r>
        <w:t xml:space="preserve">Chương 4. Kết quả nghiên cứu</w:t>
      </w:r>
    </w:p>
    <w:p>
      <w:pPr>
        <w:numPr>
          <w:ilvl w:val="0"/>
          <w:numId w:val="1001"/>
        </w:numPr>
        <w:pStyle w:val="Compact"/>
      </w:pPr>
      <w:r>
        <w:t xml:space="preserve">Chương 5. Thảo luận và kết luận</w:t>
      </w:r>
    </w:p>
    <w:p>
      <w:pPr>
        <w:numPr>
          <w:ilvl w:val="0"/>
          <w:numId w:val="1001"/>
        </w:numPr>
        <w:pStyle w:val="Compact"/>
      </w:pPr>
      <w:r>
        <w:t xml:space="preserve">Tài liệu tham khảo</w:t>
      </w:r>
    </w:p>
    <w:p>
      <w:pPr>
        <w:numPr>
          <w:ilvl w:val="0"/>
          <w:numId w:val="1001"/>
        </w:numPr>
        <w:pStyle w:val="Compact"/>
      </w:pPr>
      <w:r>
        <w:t xml:space="preserve">Phụ lục</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 chương —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Điểm uốn theo đợt khảo sát, Ấn Độ (Chương 4, §4.8)</w:t>
      </w:r>
    </w:p>
    <w:p>
      <w:pPr>
        <w:pStyle w:val="BodyText"/>
      </w:pPr>
      <w:r>
        <w:rPr>
          <w:bCs/>
          <w:b/>
        </w:rPr>
        <w:t xml:space="preserve">Bảng chuyên đề (không đánh số, theo mục):</w:t>
      </w:r>
      <w:r>
        <w:t xml:space="preserve"> </w:t>
      </w:r>
      <w:r>
        <w:t xml:space="preserve">- Bảng định nghĩa biến — Nghiên cứu P3 Việt Nam (Chương 3, §3.4.5.1)</w:t>
      </w:r>
      <w:r>
        <w:t xml:space="preserve"> </w:t>
      </w:r>
      <w:r>
        <w:t xml:space="preserve">- Bảng định nghĩa biến — Nghiên cứu P4 Singapore (Chương 3, §3.4.5.2)</w:t>
      </w:r>
      <w:r>
        <w:t xml:space="preserve"> </w:t>
      </w:r>
      <w:r>
        <w:t xml:space="preserve">- Bảng định nghĩa biến — Nghiên cứu P5 Trung Quốc (Chương 3, §3.4.5.3)</w:t>
      </w:r>
      <w:r>
        <w:t xml:space="preserve"> </w:t>
      </w:r>
      <w:r>
        <w:t xml:space="preserve">- Bảng định nghĩa biến — Nghiên cứu P7 đa quốc gia (Chương 3, §3.4.5.4)</w:t>
      </w:r>
      <w:r>
        <w:t xml:space="preserve"> </w:t>
      </w:r>
      <w:r>
        <w:t xml:space="preserve">- Bảng định nghĩa biến —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§4.9)</w:t>
      </w:r>
    </w:p>
    <w:bookmarkEnd w:id="28"/>
    <w:bookmarkStart w:id="29" w:name="danh-mục-hình"/>
    <w:p>
      <w:pPr>
        <w:pStyle w:val="Heading2"/>
      </w:pPr>
      <w:r>
        <w:t xml:space="preserve">DANH MỤC HÌNH</w:t>
      </w:r>
    </w:p>
    <w:p>
      <w:pPr>
        <w:numPr>
          <w:ilvl w:val="0"/>
          <w:numId w:val="1002"/>
        </w:numPr>
        <w:pStyle w:val="Compact"/>
      </w:pPr>
      <w:r>
        <w:t xml:space="preserve">Hình 2.1. Khung khái niệm tích hợp đa tầng CDCM (Chương 2, §2.5)</w:t>
      </w:r>
    </w:p>
    <w:p>
      <w:pPr>
        <w:numPr>
          <w:ilvl w:val="0"/>
          <w:numId w:val="1002"/>
        </w:numPr>
        <w:pStyle w:val="Compact"/>
      </w:pPr>
      <w:r>
        <w:t xml:space="preserve">Hình 4.1. Họ đường cong I–P phụ thuộc chế độ thể chế ICRV (Chương 4)</w:t>
      </w:r>
    </w:p>
    <w:p>
      <w:pPr>
        <w:numPr>
          <w:ilvl w:val="0"/>
          <w:numId w:val="1002"/>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 k = 113; nền tảng cho P1/P2/P6.)</w:t>
      </w:r>
    </w:p>
    <w:p>
      <w:pPr>
        <w:numPr>
          <w:ilvl w:val="0"/>
          <w:numId w:val="1003"/>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 380 doanh nghiệp WBES, ước lượng FGLS, lăng kính thượng tầng quản trị; được nghiên cứu thành phần P9 trích dẫn như prior author work.)</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3"/>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4"/>
        </w:numPr>
        <w:pStyle w:val="Compact"/>
      </w:pPr>
      <w:r>
        <w:t xml:space="preserve">Nghiên cứu thành phần P3 — Việt Nam (bối cảnh chuyển đổi thu nhập trung bình thấp).</w:t>
      </w:r>
      <w:r>
        <w:t xml:space="preserve"> </w:t>
      </w:r>
      <w:r>
        <w:rPr>
          <w:iCs/>
          <w:i/>
        </w:rPr>
        <w:t xml:space="preserve">[Bản thảo đang bình duyệt.]</w:t>
      </w:r>
    </w:p>
    <w:p>
      <w:pPr>
        <w:numPr>
          <w:ilvl w:val="0"/>
          <w:numId w:val="1004"/>
        </w:numPr>
        <w:pStyle w:val="Compact"/>
      </w:pPr>
      <w:r>
        <w:t xml:space="preserve">Nghiên cứu thành phần P4 — Singapore (bối cảnh thể chế tiên tiến–đổi mới).</w:t>
      </w:r>
      <w:r>
        <w:t xml:space="preserve"> </w:t>
      </w:r>
      <w:r>
        <w:rPr>
          <w:iCs/>
          <w:i/>
        </w:rPr>
        <w:t xml:space="preserve">[Bản thảo đang bình duyệt.]</w:t>
      </w:r>
    </w:p>
    <w:p>
      <w:pPr>
        <w:numPr>
          <w:ilvl w:val="0"/>
          <w:numId w:val="1004"/>
        </w:numPr>
        <w:pStyle w:val="Compact"/>
      </w:pPr>
      <w:r>
        <w:t xml:space="preserve">Nghiên cứu thành phần P5 — Trung Quốc 2012–2024 (bối cảnh upper-middle).</w:t>
      </w:r>
      <w:r>
        <w:t xml:space="preserve"> </w:t>
      </w:r>
      <w:r>
        <w:rPr>
          <w:iCs/>
          <w:i/>
        </w:rPr>
        <w:t xml:space="preserve">[Bản thảo đang bình duyệt.]</w:t>
      </w:r>
    </w:p>
    <w:p>
      <w:pPr>
        <w:numPr>
          <w:ilvl w:val="0"/>
          <w:numId w:val="1004"/>
        </w:numPr>
        <w:pStyle w:val="Compact"/>
      </w:pPr>
      <w:r>
        <w:t xml:space="preserve">Nghiên cứu thành phần P6 — Meta-analysis ba tầng mở rộng 1982–2026.</w:t>
      </w:r>
      <w:r>
        <w:t xml:space="preserve"> </w:t>
      </w:r>
      <w:r>
        <w:rPr>
          <w:iCs/>
          <w:i/>
        </w:rPr>
        <w:t xml:space="preserve">[Bản thảo đang bình duyệt.]</w:t>
      </w:r>
    </w:p>
    <w:p>
      <w:pPr>
        <w:numPr>
          <w:ilvl w:val="0"/>
          <w:numId w:val="1004"/>
        </w:numPr>
        <w:pStyle w:val="Compact"/>
      </w:pPr>
      <w:r>
        <w:t xml:space="preserve">Nghiên cứu thành phần P7 — Kiểm định toàn mẫu 49 nền kinh tế châu Á và Thái Bình Dương (capstone).</w:t>
      </w:r>
      <w:r>
        <w:t xml:space="preserve"> </w:t>
      </w:r>
      <w:r>
        <w:rPr>
          <w:iCs/>
          <w:i/>
        </w:rPr>
        <w:t xml:space="preserve">[Bản thảo đang chỉnh sửa theo phản biện.]</w:t>
      </w:r>
    </w:p>
    <w:p>
      <w:pPr>
        <w:numPr>
          <w:ilvl w:val="0"/>
          <w:numId w:val="1004"/>
        </w:numPr>
        <w:pStyle w:val="Compact"/>
      </w:pPr>
      <w:r>
        <w:t xml:space="preserve">Nghiên cứu thành phần P8 — Trường hợp biên SIDS, gánh nặng quốc tế hóa bắt buộc (FIP).</w:t>
      </w:r>
      <w:r>
        <w:t xml:space="preserve"> </w:t>
      </w:r>
      <w:r>
        <w:rPr>
          <w:iCs/>
          <w:i/>
        </w:rPr>
        <w:t xml:space="preserve">[Bản thảo đang chỉnh sửa theo phản biện.]</w:t>
      </w:r>
    </w:p>
    <w:p>
      <w:pPr>
        <w:numPr>
          <w:ilvl w:val="0"/>
          <w:numId w:val="1004"/>
        </w:numPr>
        <w:pStyle w:val="Compact"/>
      </w:pPr>
      <w:r>
        <w:t xml:space="preserve">Nghiên cứu thành phần P9 —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2026-06-11T15:57:16Z</dcterms:created>
  <dcterms:modified xsi:type="dcterms:W3CDTF">2026-06-11T15:57:16Z</dcterms:modified>
</cp:coreProperties>
</file>

<file path=docProps/custom.xml><?xml version="1.0" encoding="utf-8"?>
<Properties xmlns="http://schemas.openxmlformats.org/officeDocument/2006/custom-properties" xmlns:vt="http://schemas.openxmlformats.org/officeDocument/2006/docPropsVTypes"/>
</file>