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4.png" ContentType="image/png"/>
  <Override PartName="/word/media/rId48.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jc w:val="center"/>
        <w:spacing w:after="120"/>
      </w:pPr>
      <w:r>
        <w:rPr>
          <w:b/>
          <w:sz w:val="28"/>
        </w:rPr>
        <w:t xml:space="preserve">BỘ GIÁO DỤC VÀ ĐÀO TẠO</w:t>
      </w:r>
    </w:p>
    <w:p>
      <w:pPr>
        <w:jc w:val="center"/>
        <w:spacing w:after="120"/>
      </w:pPr>
      <w:r>
        <w:rPr>
          <w:b/>
          <w:sz w:val="28"/>
        </w:rPr>
        <w:t xml:space="preserve">TRƯỜNG ĐẠI HỌC CẦN THƠ</w:t>
      </w:r>
    </w:p>
    <w:p>
      <w:pPr>
        <w:jc w:val="center"/>
        <w:spacing w:after="120"/>
      </w:pPr>
      <w:r>
        <w:rPr>
          <w:b/>
          <w:sz w:val="28"/>
        </w:rPr>
        <w:t xml:space="preserve">TRƯỜNG KINH TẾ</w:t>
      </w:r>
    </w:p>
    <w:p>
      <w:pPr>
        <w:jc w:val="center"/>
      </w:pPr>
      <w:r>
        <w:t> </w:t>
      </w:r>
    </w:p>
    <w:p>
      <w:pPr>
        <w:jc w:val="center"/>
      </w:pPr>
      <w:r>
        <w:t> </w:t>
      </w:r>
    </w:p>
    <w:p>
      <w:pPr>
        <w:jc w:val="center"/>
        <w:spacing w:after="120"/>
      </w:pPr>
      <w:r>
        <w:rPr>
          <w:b/>
          <w:sz w:val="28"/>
        </w:rPr>
        <w:t xml:space="preserve">ĐỖ THÙY HƯƠNG</w:t>
      </w:r>
    </w:p>
    <w:p>
      <w:pPr>
        <w:jc w:val="center"/>
        <w:spacing w:after="120"/>
      </w:pPr>
      <w:r>
        <w:rPr>
          <w:b/>
          <w:sz w:val="26"/>
        </w:rPr>
        <w:t xml:space="preserve">MÃ SỐ NGHIÊN CỨU SINH: P1323001</w:t>
      </w:r>
    </w:p>
    <w:p>
      <w:pPr>
        <w:jc w:val="center"/>
      </w:pPr>
      <w:r>
        <w:t> </w:t>
      </w:r>
    </w:p>
    <w:p>
      <w:pPr>
        <w:jc w:val="center"/>
        <w:spacing w:after="120"/>
      </w:pPr>
      <w:r>
        <w:rPr>
          <w:b/>
          <w:sz w:val="28"/>
        </w:rPr>
        <w:t xml:space="preserve">CHUYÊN ĐỀ TIẾN SĨ SỐ 2</w:t>
      </w:r>
    </w:p>
    <w:p>
      <w:pPr>
        <w:jc w:val="center"/>
      </w:pPr>
      <w:r>
        <w:t> </w:t>
      </w:r>
    </w:p>
    <w:p>
      <w:pPr>
        <w:jc w:val="center"/>
        <w:spacing w:after="120"/>
      </w:pPr>
      <w:r>
        <w:rPr>
          <w:b/>
          <w:sz w:val="34"/>
        </w:rPr>
        <w:t xml:space="preserve">XÂY DỰNG MÔ HÌNH NGHIÊN CỨU VỀ ẢNH HƯỞNG CỦA QUỐC TẾ HÓA ĐẾN HIỆU QUẢ HOẠT ĐỘNG KINH DOANH CỦA CÁC DOANH NGHIỆP Ở CHÂU Á</w:t>
      </w:r>
    </w:p>
    <w:p>
      <w:pPr>
        <w:jc w:val="center"/>
      </w:pPr>
      <w:r>
        <w:t> </w:t>
      </w:r>
    </w:p>
    <w:p>
      <w:pPr>
        <w:jc w:val="center"/>
      </w:pPr>
      <w:r>
        <w:t> </w:t>
      </w:r>
    </w:p>
    <w:p>
      <w:pPr>
        <w:jc w:val="center"/>
        <w:spacing w:after="120"/>
      </w:pPr>
      <w:r>
        <w:rPr>
          <w:b/>
          <w:sz w:val="28"/>
        </w:rPr>
        <w:t xml:space="preserve">NGÀNH QUẢN TRỊ KINH DOANH</w:t>
      </w:r>
    </w:p>
    <w:p>
      <w:pPr>
        <w:jc w:val="center"/>
        <w:spacing w:after="120"/>
      </w:pPr>
      <w:r>
        <w:rPr>
          <w:b/>
          <w:sz w:val="28"/>
        </w:rPr>
        <w:t xml:space="preserve">MÃ NGÀNH: 9340101</w:t>
      </w:r>
    </w:p>
    <w:p>
      <w:pPr>
        <w:jc w:val="center"/>
      </w:pPr>
      <w:r>
        <w:t> </w:t>
      </w:r>
    </w:p>
    <w:p>
      <w:pPr>
        <w:jc w:val="center"/>
        <w:spacing w:after="120"/>
      </w:pPr>
      <w:r>
        <w:rPr>
          <w:b/>
          <w:sz w:val="26"/>
        </w:rPr>
        <w:t xml:space="preserve">NGƯỜI HƯỚNG DẪN KHOA HỌC</w:t>
      </w:r>
    </w:p>
    <w:p>
      <w:pPr>
        <w:jc w:val="center"/>
        <w:spacing w:after="120"/>
      </w:pPr>
      <w:r>
        <w:rPr>
          <w:b/>
          <w:sz w:val="26"/>
        </w:rPr>
        <w:t xml:space="preserve">PGS.TS. PHAN ANH TÚ</w:t>
      </w:r>
    </w:p>
    <w:p>
      <w:pPr>
        <w:jc w:val="center"/>
      </w:pPr>
      <w:r>
        <w:t> </w:t>
      </w:r>
    </w:p>
    <w:p>
      <w:pPr>
        <w:jc w:val="center"/>
        <w:spacing w:after="120"/>
      </w:pPr>
      <w:r>
        <w:rPr>
          <w:b/>
          <w:sz w:val="28"/>
        </w:rPr>
        <w:t xml:space="preserve">CẦN THƠ, NĂM 2026</w:t>
      </w:r>
    </w:p>
    <w:p>
      <w:r>
        <w:br w:type="page"/>
      </w:r>
    </w:p>
    <w:bookmarkStart w:id="20" w:name="lời-cam-đoan"/>
    <w:p>
      <w:pPr>
        <w:pStyle w:val="Heading2"/>
      </w:pPr>
      <w:r>
        <w:t xml:space="preserve">LỜI CAM ĐOAN</w:t>
      </w:r>
    </w:p>
    <w:p>
      <w:pPr>
        <w:pStyle w:val="FirstParagraph"/>
      </w:pPr>
      <w:r>
        <w:t xml:space="preserve">Tôi xin cam đoan chuyên đề tiến sĩ số 2 với tiêu đề</w:t>
      </w:r>
      <w:r>
        <w:t xml:space="preserve"> </w:t>
      </w:r>
      <w:r>
        <w:t xml:space="preserve">“</w:t>
      </w:r>
      <w:r>
        <w:t xml:space="preserve">Xây dựng mô hình nghiên cứu về ảnh hưởng của quốc tế hóa đến hiệu quả hoạt động kinh doanh của các doanh nghiệp ở Châu Á</w:t>
      </w:r>
      <w:r>
        <w:t xml:space="preserve">”</w:t>
      </w:r>
      <w:r>
        <w:t xml:space="preserve"> </w:t>
      </w:r>
      <w:r>
        <w:t xml:space="preserve">là công trình nghiên cứu của riêng tôi dưới sự hướng dẫn khoa học của PGS.TS. Phan Anh Tú, Trường Đại học Cần Thơ. Các kết quả phân tích, mô hình, bảng biểu, hình vẽ trình bày trong chuyên đề đều trung thực và có nguồn gốc rõ ràng. Tài liệu tham khảo được trích dẫn theo chuẩn APA 7th. Những trích dẫn từ các nghiên cứu khác đều được nêu rõ trong danh mục tài liệu tham khảo. Tôi xin chịu trách nhiệm hoàn toàn về nội dung khoa học của chuyên đề này.</w:t>
      </w:r>
    </w:p>
    <w:p>
      <w:pPr>
        <w:pStyle w:val="BodyText"/>
      </w:pPr>
      <w:r>
        <w:rPr>
          <w:iCs/>
          <w:i/>
        </w:rPr>
        <w:t xml:space="preserve">Cần Thơ, ngày … tháng … năm 2026</w:t>
      </w:r>
    </w:p>
    <w:p>
      <w:pPr>
        <w:pStyle w:val="BodyText"/>
      </w:pPr>
      <w:r>
        <w:rPr>
          <w:iCs/>
          <w:i/>
        </w:rPr>
        <w:t xml:space="preserve">Nghiên cứu sinh</w:t>
      </w:r>
    </w:p>
    <w:p>
      <w:pPr>
        <w:pStyle w:val="BodyText"/>
      </w:pPr>
      <w:r>
        <w:t xml:space="preserve">Đỗ Thùy Hương</w:t>
      </w:r>
    </w:p>
    <w:p>
      <w:r>
        <w:pict>
          <v:rect style="width:0;height:1.5pt" o:hralign="center" o:hrstd="t" o:hr="t"/>
        </w:pict>
      </w:r>
    </w:p>
    <w:bookmarkEnd w:id="20"/>
    <w:bookmarkStart w:id="21" w:name="tóm-tắt"/>
    <w:p>
      <w:pPr>
        <w:pStyle w:val="Heading2"/>
      </w:pPr>
      <w:r>
        <w:t xml:space="preserve">TÓM TẮT</w:t>
      </w:r>
    </w:p>
    <w:p>
      <w:pPr>
        <w:pStyle w:val="FirstParagraph"/>
      </w:pPr>
      <w:r>
        <w:t xml:space="preserve">Chuyên đề này xây dựng mô hình nghiên cứu lý thuyết và thực nghiệm về ảnh hưởng của quốc tế hóa đến hiệu quả hoạt động kinh doanh của các doanh nghiệp ở các quốc gia châu Á trong giai đoạn 2009–2025. Khung lý thuyết tích hợp bốn tầng, Uppsala Model (Johanson &amp; Vahlne, 1977, 2009), lý thuyết dựa trên nguồn lực (Barney, 1991; Wernerfelt, 1984), lý thuyết thể chế (North, 1990; Khanna &amp; Palepu, 2010; Peng, 2003) và lý thuyết thượng tầng quản trị (Hambrick &amp; Mason, 1984; Hambrick, 2007), kết hợp với Khung chấp nhận số nền tảng (Banalieva &amp; Dhanaraj, 2019; Verhoef et al., 2021; Stallkamp &amp; Schotter, 2021) làm nền tảng lý thuyết. Lược khảo năm dạng hàm quan hệ quốc tế hóa, hiệu quả (I–P) gồm tuyến tính, chữ U ngược, chữ S (S-curve), chữ M (M-curve), và gánh nặng bắt buộc (forced penalty), cùng năm phân tích tổng hợp lớn giai đoạn 1980–2024, cho thấy khoảng trống thực nghiệm trong việc kiểm định đồng thời phi tuyến và điều tiết đa tầng ở châu Á. Hệ giả thuyết H1–H6 được phát triển: H1 phi tuyến dạng chữ U ngược hoặc chữ S; H2 chỉ số năng lực công nghệ (TCI) điều tiết tích cực; H3a–H3b chỉ số chấp nhận số (DAI) điều tiết phụ thuộc chế độ thể chế: có điều kiện ở Emerging/Frontier (H3a, dương trong OLS nhưng phụ thuộc bối cảnh và có thể null trong kiểm định nhân quả) và có điều kiện/null ở Advanced (H3b), phân biệt với TCI; H4a–H4c đặc điểm nhà quản trị điều tiết (kinh nghiệm, học vấn, giới tính, tách biệt dấu kỳ vọng); H5 thể chế nội địa điều tiết theo phổ thể chế ICRV sáu nhóm; H6 tính không đồng nhất theo thời gian. Tám mô hình thực nghiệm M0–M7 được thiết lập, từ cơ sở tuyến tính đến mô hình điều tiết ba chiều cấp luận án. Chiến lược nhận dạng đa tầng và kế hoạch kiểm định độ vững toàn diện được thiết kế cho mẫu gộp 88.869 doanh nghiệp ở 50 nền kinh tế (gồm Nhật Bản) châu Á và Thái Bình Dương, bao gồm 103 cặp quốc gia-năm qua 14 mốc khảo sát WBES giai đoạn 2009–2025 (hồi quy chính M2 N=81.022, M5 N=79.080). Bốn đóng góp chính: (i) khung tích hợp 4 tầng kết hợp Khung chấp nhận số nền tảng chưa có tương đương cho châu Á; (ii) tách bạch TCI và DAI theo Mô hình Áp dụng số và Năng lực phụ thuộc bối cảnh (CDCM); (iii) mô hình M7 điều tiết ba chiều; (iv) phân loại nhánh Advanced thành tiên tiến đổi mới sáng tạo dẫn dắt (ICRV Nhóm I) và tiên tiến tài nguyên dẫn dắt (ICRV Nhóm II). Ba bản thảo thực nghiệm đồng hành, P3 Việt Nam (mục tiêu JED), P4 Singapore (mục tiêu MIR), P5 Trung Quốc (mục tiêu IJOEM), cung cấp bằng chứng quốc gia cụ thể kiểm định H1–H6 và xác nhận tính khả nghiệm của mô hình đề xuất.</w:t>
      </w:r>
    </w:p>
    <w:p>
      <w:pPr>
        <w:pStyle w:val="BodyText"/>
      </w:pPr>
      <w:r>
        <w:t xml:space="preserve">Từ khóa: quốc tế hóa; hiệu quả hoạt động kinh doanh; châu Á; mô hình phi tuyến; điều tiết; áp dụng số; thể chế; lý thuyết thượng tầng quản trị; ICRV.</w:t>
      </w:r>
    </w:p>
    <w:p>
      <w:r>
        <w:pict>
          <v:rect style="width:0;height:1.5pt" o:hralign="center" o:hrstd="t" o:hr="t"/>
        </w:pict>
      </w:r>
    </w:p>
    <w:bookmarkEnd w:id="21"/>
    <w:bookmarkStart w:id="22" w:name="abstract"/>
    <w:p>
      <w:pPr>
        <w:pStyle w:val="Heading2"/>
      </w:pPr>
      <w:r>
        <w:t xml:space="preserve">ABSTRACT</w:t>
      </w:r>
    </w:p>
    <w:p>
      <w:pPr>
        <w:pStyle w:val="FirstParagraph"/>
      </w:pPr>
      <w:r>
        <w:t xml:space="preserve">This specialty essay constructs a theoretical and empirical research model on the effect of internationalization on firm performance across Asian economies during 2009–2025. The integrated theoretical framework combines four layers, the Uppsala Model (Johanson &amp; Vahlne, 1977, 2009), the Resource-Based View (Barney, 1991; Wernerfelt, 1984), Institutional Theory (North, 1990; Khanna &amp; Palepu, 2010; Peng, 2003), and Upper Echelons Theory (Hambrick &amp; Mason, 1984; Hambrick, 2007), together with the Foundational Digital Adoption Framework (Banalieva &amp; Dhanaraj, 2019; Verhoef et al., 2021; Stallkamp &amp; Schotter, 2021). A review of five functional forms of the internationalization–performance (I–P) relationship, linear, inverted-U, S-curve, M-curve, and forced penalty, together with five major meta-analyses covering 1980–2024 reveals an empirical gap in the simultaneous testing of nonlinearity and multi-level moderation in Asia. Six hypotheses (H1–H6) are developed: H1 nonlinear inverted-U or S-curve relationship; H2 Technological Capability Index (TCI) positively moderating; H3a–H3b Digital Adoption Index (DAI) moderating contingent on institutional regime: conditional for Emerging/Frontier (H3a), positive under OLS but subject to selection bias (P3 IV: β = 0.018, p = .942), conditional or null for Advanced (H3b), and distinguishable from TCI; H4a–H4c top manager characteristics moderating (experience, education, and gender with distinct directional expectations); H5 home-country institutions moderating along the ICRV six-regime institutional spectrum; H6 temporal heterogeneity. Eight empirical models M0–M7 are specified, from linear baseline to three-way moderation. A multi-level identification strategy and comprehensive robustness plan are designed for a pool of 88,869 firms across 50 Asian and Pacific economies (including Japan; 96,415 ICRV-classified across 52 source economies), spanning 103 country-year pairs across 14 WBES survey waves (2009–2025; main regressions M2 N=81,022, M5 N=79,080). The four main contributions are: (i) an integrated 4-tier framework combined with the Foundational Digital Adoption Framework with no equivalent for Asia; (ii) the separation of TCI and DAI within the Country–Digital–Capability Moderation (CDCM); (iii) the M7 three-way moderation model; (iv) sub-grouping of the Advanced regime into innovation-driven (ICRV Group I) and resource-driven (ICRV Group II) types. Three companion empirical papers, P3 Vietnam (target JED), P4 Singapore (target MIR), P5 China (target IJOEM), provide country-specific evidence testing H1–H6 and validating the proposed model structure.</w:t>
      </w:r>
    </w:p>
    <w:p>
      <w:pPr>
        <w:pStyle w:val="BodyText"/>
      </w:pPr>
      <w:r>
        <w:t xml:space="preserve">Keywords: internationalization; firm performance; Asia; nonlinear models; moderation; digital adoption; institutions; Upper Echelons; ICRV.</w:t>
      </w:r>
    </w:p>
    <w:p>
      <w:r>
        <w:pict>
          <v:rect style="width:0;height:1.5pt" o:hralign="center" o:hrstd="t" o:hr="t"/>
        </w:pict>
      </w:r>
    </w:p>
    <w:bookmarkEnd w:id="22"/>
    <w:bookmarkStart w:id="23" w:name="danh-mục-bảng"/>
    <w:p>
      <w:pPr>
        <w:pStyle w:val="Heading2"/>
      </w:pPr>
      <w:r>
        <w:t xml:space="preserve">DANH MỤC BẢNG</w:t>
      </w:r>
    </w:p>
    <w:p>
      <w:pPr>
        <w:pStyle w:val="FirstParagraph"/>
      </w:pPr>
      <w:r>
        <w:t xml:space="preserve">Bảng 2.1. Mỗi tầng lý thuyết, câu hỏi phụ, biến số, giả thuyết, bằng chứng neo đậu</w:t>
      </w:r>
    </w:p>
    <w:p>
      <w:pPr>
        <w:pStyle w:val="BodyText"/>
      </w:pPr>
      <w:r>
        <w:t xml:space="preserve">Bảng 2.2. Năm dạng hàm quốc tế hóa và hiệu quả, cơ chế, và bối cảnh xuất hiện</w:t>
      </w:r>
    </w:p>
    <w:p>
      <w:pPr>
        <w:pStyle w:val="BodyText"/>
      </w:pPr>
      <w:r>
        <w:t xml:space="preserve">Bảng 2.3. So sánh bằng chứng bốn bản thảo đồng hành P2–P5</w:t>
      </w:r>
    </w:p>
    <w:p>
      <w:pPr>
        <w:pStyle w:val="BodyText"/>
      </w:pPr>
      <w:r>
        <w:t xml:space="preserve">Bảng 2.4. Mapping biến đầy đủ: khái niệm lý thuyết, biến WBES, kỳ vọng dấu, giả thuyết</w:t>
      </w:r>
    </w:p>
    <w:p>
      <w:pPr>
        <w:pStyle w:val="BodyText"/>
      </w:pPr>
      <w:r>
        <w:t xml:space="preserve">Bảng 2.5. Hệ giả thuyết H1–H6, tóm tắt cơ chế, biến, kỳ vọng, và bằng chứng neo đậu</w:t>
      </w:r>
    </w:p>
    <w:p>
      <w:pPr>
        <w:pStyle w:val="BodyText"/>
      </w:pPr>
      <w:r>
        <w:t xml:space="preserve">Bảng 2.6. CDCM, Dự đoán tác động DAI theo 3 chiều ngữ cảnh</w:t>
      </w:r>
    </w:p>
    <w:p>
      <w:pPr>
        <w:pStyle w:val="BodyText"/>
      </w:pPr>
      <w:r>
        <w:t xml:space="preserve">Bảng 2.7. Tám mô hình M0–M7, cấu trúc, giả thuyết kiểm định, và biến bổ sung</w:t>
      </w:r>
    </w:p>
    <w:p>
      <w:pPr>
        <w:pStyle w:val="BodyText"/>
      </w:pPr>
      <w:r>
        <w:t xml:space="preserve">Bảng 2.8. Cấu trúc mẫu gộp theo nhóm ICRV và mốc khảo sát</w:t>
      </w:r>
    </w:p>
    <w:p>
      <w:pPr>
        <w:pStyle w:val="BodyText"/>
      </w:pPr>
      <w:r>
        <w:t xml:space="preserve">Bảng 2.9. Đo lường TCI theo mã WBES</w:t>
      </w:r>
    </w:p>
    <w:p>
      <w:pPr>
        <w:pStyle w:val="BodyText"/>
      </w:pPr>
      <w:r>
        <w:t xml:space="preserve">Bảng 2.10. Đo lường DAI theo mã WBES</w:t>
      </w:r>
    </w:p>
    <w:p>
      <w:pPr>
        <w:pStyle w:val="BodyText"/>
      </w:pPr>
      <w:r>
        <w:t xml:space="preserve">Bảng 2.11. Phân loại 50 nền kinh tế theo ICRV, đặc điểm và tiêu chí</w:t>
      </w:r>
    </w:p>
    <w:p>
      <w:pPr>
        <w:pStyle w:val="BodyText"/>
      </w:pPr>
      <w:r>
        <w:t xml:space="preserve">Bảng 2.12. Kế hoạch kiểm định độ vững, sáu nhóm</w:t>
      </w:r>
    </w:p>
    <w:p>
      <w:pPr>
        <w:pStyle w:val="BodyText"/>
      </w:pPr>
      <w:r>
        <w:t xml:space="preserve">Bảng 2.13. So sánh đặc điểm phương pháp và phạm vi lý thuyết của các khung tham chiếu chính và CĐ2</w:t>
      </w:r>
    </w:p>
    <w:p>
      <w:r>
        <w:pict>
          <v:rect style="width:0;height:1.5pt" o:hralign="center" o:hrstd="t" o:hr="t"/>
        </w:pict>
      </w:r>
    </w:p>
    <w:bookmarkEnd w:id="23"/>
    <w:bookmarkStart w:id="24" w:name="danh-mục-hình"/>
    <w:p>
      <w:pPr>
        <w:pStyle w:val="Heading2"/>
      </w:pPr>
      <w:r>
        <w:t xml:space="preserve">DANH MỤC HÌNH</w:t>
      </w:r>
    </w:p>
    <w:p>
      <w:pPr>
        <w:pStyle w:val="FirstParagraph"/>
      </w:pPr>
      <w:r>
        <w:t xml:space="preserve">Hình 2.1. Khung khái niệm tích hợp CĐ2, tổng quan</w:t>
      </w:r>
    </w:p>
    <w:p>
      <w:pPr>
        <w:pStyle w:val="BodyText"/>
      </w:pPr>
      <w:r>
        <w:t xml:space="preserve">Hình 2.2. Khung khái niệm tích hợp CĐ2, chi tiết với bằng chứng neo đậu</w:t>
      </w:r>
    </w:p>
    <w:p>
      <w:r>
        <w:pict>
          <v:rect style="width:0;height:1.5pt" o:hralign="center" o:hrstd="t" o:hr="t"/>
        </w:pict>
      </w:r>
    </w:p>
    <w:bookmarkEnd w:id="24"/>
    <w:bookmarkStart w:id="25" w:name="danh-mục-từ-viết-tắt"/>
    <w:p>
      <w:pPr>
        <w:pStyle w:val="Heading2"/>
      </w:pPr>
      <w:r>
        <w:t xml:space="preserve">DANH MỤC TỪ VIẾT TẮT</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Viết tắt</w:t>
            </w:r>
          </w:p>
        </w:tc>
        <w:tc>
          <w:tcPr/>
          <w:p>
            <w:pPr>
              <w:pStyle w:val="Compact"/>
              <w:jc w:val="left"/>
            </w:pPr>
            <w:r>
              <w:t xml:space="preserve">Diễn giải</w:t>
            </w:r>
          </w:p>
        </w:tc>
      </w:tr>
      <w:tr>
        <w:tc>
          <w:tcPr/>
          <w:p>
            <w:pPr>
              <w:pStyle w:val="Compact"/>
              <w:jc w:val="left"/>
            </w:pPr>
            <w:r>
              <w:t xml:space="preserve">AIC</w:t>
            </w:r>
          </w:p>
        </w:tc>
        <w:tc>
          <w:tcPr/>
          <w:p>
            <w:pPr>
              <w:pStyle w:val="Compact"/>
              <w:jc w:val="left"/>
            </w:pPr>
            <w:r>
              <w:t xml:space="preserve">Akaike Information Criterion</w:t>
            </w:r>
          </w:p>
        </w:tc>
      </w:tr>
      <w:tr>
        <w:tc>
          <w:tcPr/>
          <w:p>
            <w:pPr>
              <w:pStyle w:val="Compact"/>
              <w:jc w:val="left"/>
            </w:pPr>
            <w:r>
              <w:t xml:space="preserve">BIC</w:t>
            </w:r>
          </w:p>
        </w:tc>
        <w:tc>
          <w:tcPr/>
          <w:p>
            <w:pPr>
              <w:pStyle w:val="Compact"/>
              <w:jc w:val="left"/>
            </w:pPr>
            <w:r>
              <w:t xml:space="preserve">Bayesian Information Criterion</w:t>
            </w:r>
          </w:p>
        </w:tc>
      </w:tr>
      <w:tr>
        <w:tc>
          <w:tcPr/>
          <w:p>
            <w:pPr>
              <w:pStyle w:val="Compact"/>
              <w:jc w:val="left"/>
            </w:pPr>
            <w:r>
              <w:t xml:space="preserve">BEE</w:t>
            </w:r>
          </w:p>
        </w:tc>
        <w:tc>
          <w:tcPr/>
          <w:p>
            <w:pPr>
              <w:pStyle w:val="Compact"/>
              <w:jc w:val="left"/>
            </w:pPr>
            <w:r>
              <w:t xml:space="preserve">Business Environment and Enterprise (WBES module)</w:t>
            </w:r>
          </w:p>
        </w:tc>
      </w:tr>
      <w:tr>
        <w:tc>
          <w:tcPr/>
          <w:p>
            <w:pPr>
              <w:pStyle w:val="Compact"/>
              <w:jc w:val="left"/>
            </w:pPr>
            <w:r>
              <w:t xml:space="preserve">BREADY</w:t>
            </w:r>
          </w:p>
        </w:tc>
        <w:tc>
          <w:tcPr/>
          <w:p>
            <w:pPr>
              <w:pStyle w:val="Compact"/>
              <w:jc w:val="left"/>
            </w:pPr>
            <w:r>
              <w:t xml:space="preserve">Business REAdy diagnostic (WBES module)</w:t>
            </w:r>
          </w:p>
        </w:tc>
      </w:tr>
      <w:tr>
        <w:tc>
          <w:tcPr/>
          <w:p>
            <w:pPr>
              <w:pStyle w:val="Compact"/>
              <w:jc w:val="left"/>
            </w:pPr>
            <w:r>
              <w:t xml:space="preserve">CDCM</w:t>
            </w:r>
          </w:p>
        </w:tc>
        <w:tc>
          <w:tcPr/>
          <w:p>
            <w:pPr>
              <w:pStyle w:val="Compact"/>
              <w:jc w:val="left"/>
            </w:pPr>
            <w:r>
              <w:t xml:space="preserve">Country–Digital–Capability Moderation, Mô hình Áp dụng số và Năng lực phụ thuộc bối cảnh</w:t>
            </w:r>
          </w:p>
        </w:tc>
      </w:tr>
      <w:tr>
        <w:tc>
          <w:tcPr/>
          <w:p>
            <w:pPr>
              <w:pStyle w:val="Compact"/>
              <w:jc w:val="left"/>
            </w:pPr>
            <w:r>
              <w:t xml:space="preserve">DAI</w:t>
            </w:r>
          </w:p>
        </w:tc>
        <w:tc>
          <w:tcPr/>
          <w:p>
            <w:pPr>
              <w:pStyle w:val="Compact"/>
              <w:jc w:val="left"/>
            </w:pPr>
            <w:r>
              <w:t xml:space="preserve">Digital Adoption Index, Chỉ số áp dụng số</w:t>
            </w:r>
          </w:p>
        </w:tc>
      </w:tr>
      <w:tr>
        <w:tc>
          <w:tcPr/>
          <w:p>
            <w:pPr>
              <w:pStyle w:val="Compact"/>
              <w:jc w:val="left"/>
            </w:pPr>
            <w:r>
              <w:t xml:space="preserve">FDI</w:t>
            </w:r>
          </w:p>
        </w:tc>
        <w:tc>
          <w:tcPr/>
          <w:p>
            <w:pPr>
              <w:pStyle w:val="Compact"/>
              <w:jc w:val="left"/>
            </w:pPr>
            <w:r>
              <w:t xml:space="preserve">Foreign Direct Investment, Đầu tư trực tiếp nước ngoài</w:t>
            </w:r>
          </w:p>
        </w:tc>
      </w:tr>
      <w:tr>
        <w:tc>
          <w:tcPr/>
          <w:p>
            <w:pPr>
              <w:pStyle w:val="Compact"/>
              <w:jc w:val="left"/>
            </w:pPr>
            <w:r>
              <w:t xml:space="preserve">FE</w:t>
            </w:r>
          </w:p>
        </w:tc>
        <w:tc>
          <w:tcPr/>
          <w:p>
            <w:pPr>
              <w:pStyle w:val="Compact"/>
              <w:jc w:val="left"/>
            </w:pPr>
            <w:r>
              <w:t xml:space="preserve">Fixed Effects, Hiệu ứng cố định</w:t>
            </w:r>
          </w:p>
        </w:tc>
      </w:tr>
      <w:tr>
        <w:tc>
          <w:tcPr/>
          <w:p>
            <w:pPr>
              <w:pStyle w:val="Compact"/>
              <w:jc w:val="left"/>
            </w:pPr>
            <w:r>
              <w:t xml:space="preserve">FSTS</w:t>
            </w:r>
          </w:p>
        </w:tc>
        <w:tc>
          <w:tcPr/>
          <w:p>
            <w:pPr>
              <w:pStyle w:val="Compact"/>
              <w:jc w:val="left"/>
            </w:pPr>
            <w:r>
              <w:t xml:space="preserve">Foreign Sales to Total Sales ratio, Tỉ lệ doanh thu xuất khẩu trên tổng doanh thu</w:t>
            </w:r>
          </w:p>
        </w:tc>
      </w:tr>
      <w:tr>
        <w:tc>
          <w:tcPr/>
          <w:p>
            <w:pPr>
              <w:pStyle w:val="Compact"/>
              <w:jc w:val="left"/>
            </w:pPr>
            <w:r>
              <w:t xml:space="preserve">GMM</w:t>
            </w:r>
          </w:p>
        </w:tc>
        <w:tc>
          <w:tcPr/>
          <w:p>
            <w:pPr>
              <w:pStyle w:val="Compact"/>
              <w:jc w:val="left"/>
            </w:pPr>
            <w:r>
              <w:t xml:space="preserve">Generalized Method of Moments</w:t>
            </w:r>
          </w:p>
        </w:tc>
      </w:tr>
      <w:tr>
        <w:tc>
          <w:tcPr/>
          <w:p>
            <w:pPr>
              <w:pStyle w:val="Compact"/>
              <w:jc w:val="left"/>
            </w:pPr>
            <w:r>
              <w:t xml:space="preserve">HC1/HC3</w:t>
            </w:r>
          </w:p>
        </w:tc>
        <w:tc>
          <w:tcPr/>
          <w:p>
            <w:pPr>
              <w:pStyle w:val="Compact"/>
              <w:jc w:val="left"/>
            </w:pPr>
            <w:r>
              <w:t xml:space="preserve">Heteroskedasticity-Consistent Standard Errors (Long &amp; Ervin, 2000)</w:t>
            </w:r>
          </w:p>
        </w:tc>
      </w:tr>
      <w:tr>
        <w:tc>
          <w:tcPr/>
          <w:p>
            <w:pPr>
              <w:pStyle w:val="Compact"/>
              <w:jc w:val="left"/>
            </w:pPr>
            <w:r>
              <w:t xml:space="preserve">I–P</w:t>
            </w:r>
          </w:p>
        </w:tc>
        <w:tc>
          <w:tcPr/>
          <w:p>
            <w:pPr>
              <w:pStyle w:val="Compact"/>
              <w:jc w:val="left"/>
            </w:pPr>
            <w:r>
              <w:t xml:space="preserve">Internationalization–Performance, Quan hệ quốc tế hóa và hiệu quả</w:t>
            </w:r>
          </w:p>
        </w:tc>
      </w:tr>
      <w:tr>
        <w:tc>
          <w:tcPr/>
          <w:p>
            <w:pPr>
              <w:pStyle w:val="Compact"/>
              <w:jc w:val="left"/>
            </w:pPr>
            <w:r>
              <w:t xml:space="preserve">IB</w:t>
            </w:r>
          </w:p>
        </w:tc>
        <w:tc>
          <w:tcPr/>
          <w:p>
            <w:pPr>
              <w:pStyle w:val="Compact"/>
              <w:jc w:val="left"/>
            </w:pPr>
            <w:r>
              <w:t xml:space="preserve">International Business, Kinh doanh quốc tế</w:t>
            </w:r>
          </w:p>
        </w:tc>
      </w:tr>
      <w:tr>
        <w:tc>
          <w:tcPr/>
          <w:p>
            <w:pPr>
              <w:pStyle w:val="Compact"/>
              <w:jc w:val="left"/>
            </w:pPr>
            <w:r>
              <w:t xml:space="preserve">ICRV</w:t>
            </w:r>
          </w:p>
        </w:tc>
        <w:tc>
          <w:tcPr/>
          <w:p>
            <w:pPr>
              <w:pStyle w:val="Compact"/>
              <w:jc w:val="left"/>
            </w:pPr>
            <w:r>
              <w:t xml:space="preserve">Institutional Context Regime Variation, Phân loại chế độ thể chế</w:t>
            </w:r>
          </w:p>
        </w:tc>
      </w:tr>
      <w:tr>
        <w:tc>
          <w:tcPr/>
          <w:p>
            <w:pPr>
              <w:pStyle w:val="Compact"/>
              <w:jc w:val="left"/>
            </w:pPr>
            <w:r>
              <w:t xml:space="preserve">ICT</w:t>
            </w:r>
          </w:p>
        </w:tc>
        <w:tc>
          <w:tcPr/>
          <w:p>
            <w:pPr>
              <w:pStyle w:val="Compact"/>
              <w:jc w:val="left"/>
            </w:pPr>
            <w:r>
              <w:t xml:space="preserve">Information and Communications Technology</w:t>
            </w:r>
          </w:p>
        </w:tc>
      </w:tr>
      <w:tr>
        <w:tc>
          <w:tcPr/>
          <w:p>
            <w:pPr>
              <w:pStyle w:val="Compact"/>
              <w:jc w:val="left"/>
            </w:pPr>
            <w:r>
              <w:t xml:space="preserve">ISO</w:t>
            </w:r>
          </w:p>
        </w:tc>
        <w:tc>
          <w:tcPr/>
          <w:p>
            <w:pPr>
              <w:pStyle w:val="Compact"/>
              <w:jc w:val="left"/>
            </w:pPr>
            <w:r>
              <w:t xml:space="preserve">International Organization for Standardization</w:t>
            </w:r>
          </w:p>
        </w:tc>
      </w:tr>
      <w:tr>
        <w:tc>
          <w:tcPr/>
          <w:p>
            <w:pPr>
              <w:pStyle w:val="Compact"/>
              <w:jc w:val="left"/>
            </w:pPr>
            <w:r>
              <w:t xml:space="preserve">IV</w:t>
            </w:r>
          </w:p>
        </w:tc>
        <w:tc>
          <w:tcPr/>
          <w:p>
            <w:pPr>
              <w:pStyle w:val="Compact"/>
              <w:jc w:val="left"/>
            </w:pPr>
            <w:r>
              <w:t xml:space="preserve">Instrumental Variable, Biến công cụ</w:t>
            </w:r>
          </w:p>
        </w:tc>
      </w:tr>
      <w:tr>
        <w:tc>
          <w:tcPr/>
          <w:p>
            <w:pPr>
              <w:pStyle w:val="Compact"/>
              <w:jc w:val="left"/>
            </w:pPr>
            <w:r>
              <w:t xml:space="preserve">LOWESS</w:t>
            </w:r>
          </w:p>
        </w:tc>
        <w:tc>
          <w:tcPr/>
          <w:p>
            <w:pPr>
              <w:pStyle w:val="Compact"/>
              <w:jc w:val="left"/>
            </w:pPr>
            <w:r>
              <w:t xml:space="preserve">Locally Weighted Scatterplot Smoothing</w:t>
            </w:r>
          </w:p>
        </w:tc>
      </w:tr>
      <w:tr>
        <w:tc>
          <w:tcPr/>
          <w:p>
            <w:pPr>
              <w:pStyle w:val="Compact"/>
              <w:jc w:val="left"/>
            </w:pPr>
            <w:r>
              <w:t xml:space="preserve">MNE</w:t>
            </w:r>
          </w:p>
        </w:tc>
        <w:tc>
          <w:tcPr/>
          <w:p>
            <w:pPr>
              <w:pStyle w:val="Compact"/>
              <w:jc w:val="left"/>
            </w:pPr>
            <w:r>
              <w:t xml:space="preserve">Multinational Enterprise, Doanh nghiệp đa quốc gia</w:t>
            </w:r>
          </w:p>
        </w:tc>
      </w:tr>
      <w:tr>
        <w:tc>
          <w:tcPr/>
          <w:p>
            <w:pPr>
              <w:pStyle w:val="Compact"/>
              <w:jc w:val="left"/>
            </w:pPr>
            <w:r>
              <w:t xml:space="preserve">OECD</w:t>
            </w:r>
          </w:p>
        </w:tc>
        <w:tc>
          <w:tcPr/>
          <w:p>
            <w:pPr>
              <w:pStyle w:val="Compact"/>
              <w:jc w:val="left"/>
            </w:pPr>
            <w:r>
              <w:t xml:space="preserve">Organisation for Economic Co-operation and Development</w:t>
            </w:r>
          </w:p>
        </w:tc>
      </w:tr>
      <w:tr>
        <w:tc>
          <w:tcPr/>
          <w:p>
            <w:pPr>
              <w:pStyle w:val="Compact"/>
              <w:jc w:val="left"/>
            </w:pPr>
            <w:r>
              <w:t xml:space="preserve">OLS</w:t>
            </w:r>
          </w:p>
        </w:tc>
        <w:tc>
          <w:tcPr/>
          <w:p>
            <w:pPr>
              <w:pStyle w:val="Compact"/>
              <w:jc w:val="left"/>
            </w:pPr>
            <w:r>
              <w:t xml:space="preserve">Ordinary Least Squares, Bình phương tối thiểu thông thường</w:t>
            </w:r>
          </w:p>
        </w:tc>
      </w:tr>
      <w:tr>
        <w:tc>
          <w:tcPr/>
          <w:p>
            <w:pPr>
              <w:pStyle w:val="Compact"/>
              <w:jc w:val="left"/>
            </w:pPr>
            <w:r>
              <w:t xml:space="preserve">PICS3</w:t>
            </w:r>
          </w:p>
        </w:tc>
        <w:tc>
          <w:tcPr/>
          <w:p>
            <w:pPr>
              <w:pStyle w:val="Compact"/>
              <w:jc w:val="left"/>
            </w:pPr>
            <w:r>
              <w:t xml:space="preserve">WBES schema thế hệ 1 (2009–2013)</w:t>
            </w:r>
          </w:p>
        </w:tc>
      </w:tr>
      <w:tr>
        <w:tc>
          <w:tcPr/>
          <w:p>
            <w:pPr>
              <w:pStyle w:val="Compact"/>
              <w:jc w:val="left"/>
            </w:pPr>
            <w:r>
              <w:t xml:space="preserve">R&amp;D</w:t>
            </w:r>
          </w:p>
        </w:tc>
        <w:tc>
          <w:tcPr/>
          <w:p>
            <w:pPr>
              <w:pStyle w:val="Compact"/>
              <w:jc w:val="left"/>
            </w:pPr>
            <w:r>
              <w:t xml:space="preserve">Research and Development, Nghiên cứu và phát triển</w:t>
            </w:r>
          </w:p>
        </w:tc>
      </w:tr>
      <w:tr>
        <w:tc>
          <w:tcPr/>
          <w:p>
            <w:pPr>
              <w:pStyle w:val="Compact"/>
              <w:jc w:val="left"/>
            </w:pPr>
            <w:r>
              <w:t xml:space="preserve">RBV</w:t>
            </w:r>
          </w:p>
        </w:tc>
        <w:tc>
          <w:tcPr/>
          <w:p>
            <w:pPr>
              <w:pStyle w:val="Compact"/>
              <w:jc w:val="left"/>
            </w:pPr>
            <w:r>
              <w:t xml:space="preserve">Resource-Based View, Quan điểm dựa trên nguồn lực</w:t>
            </w:r>
          </w:p>
        </w:tc>
      </w:tr>
      <w:tr>
        <w:tc>
          <w:tcPr/>
          <w:p>
            <w:pPr>
              <w:pStyle w:val="Compact"/>
              <w:jc w:val="left"/>
            </w:pPr>
            <w:r>
              <w:t xml:space="preserve">RESET</w:t>
            </w:r>
          </w:p>
        </w:tc>
        <w:tc>
          <w:tcPr/>
          <w:p>
            <w:pPr>
              <w:pStyle w:val="Compact"/>
              <w:jc w:val="left"/>
            </w:pPr>
            <w:r>
              <w:t xml:space="preserve">Regression Specification Error Test</w:t>
            </w:r>
          </w:p>
        </w:tc>
      </w:tr>
      <w:tr>
        <w:tc>
          <w:tcPr/>
          <w:p>
            <w:pPr>
              <w:pStyle w:val="Compact"/>
              <w:jc w:val="left"/>
            </w:pPr>
            <w:r>
              <w:t xml:space="preserve">ROA</w:t>
            </w:r>
          </w:p>
        </w:tc>
        <w:tc>
          <w:tcPr/>
          <w:p>
            <w:pPr>
              <w:pStyle w:val="Compact"/>
              <w:jc w:val="left"/>
            </w:pPr>
            <w:r>
              <w:t xml:space="preserve">Return on Assets, Lợi nhuận trên tổng tài sản</w:t>
            </w:r>
          </w:p>
        </w:tc>
      </w:tr>
      <w:tr>
        <w:tc>
          <w:tcPr/>
          <w:p>
            <w:pPr>
              <w:pStyle w:val="Compact"/>
              <w:jc w:val="left"/>
            </w:pPr>
            <w:r>
              <w:t xml:space="preserve">ROS</w:t>
            </w:r>
          </w:p>
        </w:tc>
        <w:tc>
          <w:tcPr/>
          <w:p>
            <w:pPr>
              <w:pStyle w:val="Compact"/>
              <w:jc w:val="left"/>
            </w:pPr>
            <w:r>
              <w:t xml:space="preserve">Return on Sales, Lợi nhuận trên doanh thu</w:t>
            </w:r>
          </w:p>
        </w:tc>
      </w:tr>
      <w:tr>
        <w:tc>
          <w:tcPr/>
          <w:p>
            <w:pPr>
              <w:pStyle w:val="Compact"/>
              <w:jc w:val="left"/>
            </w:pPr>
            <w:r>
              <w:t xml:space="preserve">SE</w:t>
            </w:r>
          </w:p>
        </w:tc>
        <w:tc>
          <w:tcPr/>
          <w:p>
            <w:pPr>
              <w:pStyle w:val="Compact"/>
              <w:jc w:val="left"/>
            </w:pPr>
            <w:r>
              <w:t xml:space="preserve">Standard Errors, Sai số chuẩn</w:t>
            </w:r>
          </w:p>
        </w:tc>
      </w:tr>
      <w:tr>
        <w:tc>
          <w:tcPr/>
          <w:p>
            <w:pPr>
              <w:pStyle w:val="Compact"/>
              <w:jc w:val="left"/>
            </w:pPr>
            <w:r>
              <w:t xml:space="preserve">SIDS</w:t>
            </w:r>
          </w:p>
        </w:tc>
        <w:tc>
          <w:tcPr/>
          <w:p>
            <w:pPr>
              <w:pStyle w:val="Compact"/>
              <w:jc w:val="left"/>
            </w:pPr>
            <w:r>
              <w:t xml:space="preserve">Small Island Developing States, Các quốc đảo nhỏ đang phát triển</w:t>
            </w:r>
          </w:p>
        </w:tc>
      </w:tr>
      <w:tr>
        <w:tc>
          <w:tcPr/>
          <w:p>
            <w:pPr>
              <w:pStyle w:val="Compact"/>
              <w:jc w:val="left"/>
            </w:pPr>
            <w:r>
              <w:t xml:space="preserve">SME</w:t>
            </w:r>
          </w:p>
        </w:tc>
        <w:tc>
          <w:tcPr/>
          <w:p>
            <w:pPr>
              <w:pStyle w:val="Compact"/>
              <w:jc w:val="left"/>
            </w:pPr>
            <w:r>
              <w:t xml:space="preserve">Small and Medium-sized Enterprise, Doanh nghiệp vừa và nhỏ</w:t>
            </w:r>
          </w:p>
        </w:tc>
      </w:tr>
      <w:tr>
        <w:tc>
          <w:tcPr/>
          <w:p>
            <w:pPr>
              <w:pStyle w:val="Compact"/>
              <w:jc w:val="left"/>
            </w:pPr>
            <w:r>
              <w:t xml:space="preserve">SOE</w:t>
            </w:r>
          </w:p>
        </w:tc>
        <w:tc>
          <w:tcPr/>
          <w:p>
            <w:pPr>
              <w:pStyle w:val="Compact"/>
              <w:jc w:val="left"/>
            </w:pPr>
            <w:r>
              <w:t xml:space="preserve">State-Owned Enterprise, Doanh nghiệp nhà nước</w:t>
            </w:r>
          </w:p>
        </w:tc>
      </w:tr>
      <w:tr>
        <w:tc>
          <w:tcPr/>
          <w:p>
            <w:pPr>
              <w:pStyle w:val="Compact"/>
              <w:jc w:val="left"/>
            </w:pPr>
            <w:r>
              <w:t xml:space="preserve">TCI</w:t>
            </w:r>
          </w:p>
        </w:tc>
        <w:tc>
          <w:tcPr/>
          <w:p>
            <w:pPr>
              <w:pStyle w:val="Compact"/>
              <w:jc w:val="left"/>
            </w:pPr>
            <w:r>
              <w:t xml:space="preserve">Technological Capability Index, Chỉ số năng lực công nghệ</w:t>
            </w:r>
          </w:p>
        </w:tc>
      </w:tr>
      <w:tr>
        <w:tc>
          <w:tcPr/>
          <w:p>
            <w:pPr>
              <w:pStyle w:val="Compact"/>
              <w:jc w:val="left"/>
            </w:pPr>
            <w:r>
              <w:t xml:space="preserve">UE</w:t>
            </w:r>
          </w:p>
        </w:tc>
        <w:tc>
          <w:tcPr/>
          <w:p>
            <w:pPr>
              <w:pStyle w:val="Compact"/>
              <w:jc w:val="left"/>
            </w:pPr>
            <w:r>
              <w:t xml:space="preserve">Upper Echelons Theory, Lý thuyết cấp cao</w:t>
            </w:r>
          </w:p>
        </w:tc>
      </w:tr>
      <w:tr>
        <w:tc>
          <w:tcPr/>
          <w:p>
            <w:pPr>
              <w:pStyle w:val="Compact"/>
              <w:jc w:val="left"/>
            </w:pPr>
            <w:r>
              <w:t xml:space="preserve">VIF</w:t>
            </w:r>
          </w:p>
        </w:tc>
        <w:tc>
          <w:tcPr/>
          <w:p>
            <w:pPr>
              <w:pStyle w:val="Compact"/>
              <w:jc w:val="left"/>
            </w:pPr>
            <w:r>
              <w:t xml:space="preserve">Variance Inflation Factor</w:t>
            </w:r>
          </w:p>
        </w:tc>
      </w:tr>
      <w:tr>
        <w:tc>
          <w:tcPr/>
          <w:p>
            <w:pPr>
              <w:pStyle w:val="Compact"/>
              <w:jc w:val="left"/>
            </w:pPr>
            <w:r>
              <w:t xml:space="preserve">WBES</w:t>
            </w:r>
          </w:p>
        </w:tc>
        <w:tc>
          <w:tcPr/>
          <w:p>
            <w:pPr>
              <w:pStyle w:val="Compact"/>
              <w:jc w:val="left"/>
            </w:pPr>
            <w:r>
              <w:t xml:space="preserve">World Bank Enterprise Surveys, Khảo sát doanh nghiệp Ngân hàng Thế giới</w:t>
            </w:r>
          </w:p>
        </w:tc>
      </w:tr>
      <w:tr>
        <w:tc>
          <w:tcPr/>
          <w:p>
            <w:pPr>
              <w:pStyle w:val="Compact"/>
              <w:jc w:val="left"/>
            </w:pPr>
            <w:r>
              <w:t xml:space="preserve">WGI</w:t>
            </w:r>
          </w:p>
        </w:tc>
        <w:tc>
          <w:tcPr/>
          <w:p>
            <w:pPr>
              <w:pStyle w:val="Compact"/>
              <w:jc w:val="left"/>
            </w:pPr>
            <w:r>
              <w:t xml:space="preserve">Worldwide Governance Indicators</w:t>
            </w:r>
          </w:p>
        </w:tc>
      </w:tr>
    </w:tbl>
    <w:p>
      <w:r>
        <w:pict>
          <v:rect style="width:0;height:1.5pt" o:hralign="center" o:hrstd="t" o:hr="t"/>
        </w:pict>
      </w:r>
    </w:p>
    <w:bookmarkEnd w:id="25"/>
    <w:bookmarkStart w:id="90" w:name="phần-2-nội-dung-chuyên-đề"/>
    <w:p>
      <w:pPr>
        <w:pStyle w:val="Heading2"/>
      </w:pPr>
      <w:r>
        <w:t xml:space="preserve">Phần 2: NỘI DUNG CHUYÊN ĐỀ</w:t>
      </w:r>
    </w:p>
    <w:bookmarkStart w:id="31" w:name="đặt-vấn-đề"/>
    <w:p>
      <w:pPr>
        <w:pStyle w:val="Heading3"/>
      </w:pPr>
      <w:r>
        <w:t xml:space="preserve">2.1 Đặt vấn đề</w:t>
      </w:r>
    </w:p>
    <w:bookmarkStart w:id="26" w:name="giới-thiệu"/>
    <w:p>
      <w:pPr>
        <w:pStyle w:val="Heading4"/>
      </w:pPr>
      <w:r>
        <w:t xml:space="preserve">2.1.1 Giới thiệu</w:t>
      </w:r>
    </w:p>
    <w:p>
      <w:pPr>
        <w:pStyle w:val="FirstParagraph"/>
      </w:pPr>
      <w:r>
        <w:t xml:space="preserve">Quốc tế hóa là chiến lược phát triển quan trọng của doanh nghiệp trong hơn nửa thế kỷ qua, nhưng kết quả mà nó đem lại không đồng nhất. Nền tảng lý thuyết của dòng nghiên cứu này bắt nguồn từ các công trình kinh điển về doanh nghiệp đa quốc gia và đầu tư trực tiếp nước ngoài: lý thuyết vòng đời sản phẩm (Vernon, 1966), lý thuyết lợi thế độc quyền của doanh nghiệp (Hymer, 1976; Caves, 1971), và lý thuyết nội bộ hóa chi phí giao dịch (Buckley &amp; Casson, 1976), về sau được tổng hợp trong khung chiết trung OLI (Dunning, 1988). Trên nền đó, tài liệu kinh doanh quốc tế (IB) đã ghi nhận năm dạng hàm khác nhau trong quan hệ giữa cường độ quốc tế hóa và hiệu quả hoạt động kinh doanh của doanh nghiệp: tuyến tính (Hsu &amp; Boggs, 2003), chữ U ngược (Gomes &amp; Ramaswamy, 1999; Hitt, Hoskisson &amp; Kim, 1997), chữ S (S-curve; Lu &amp; Beamish, 2004; Contractor, Kundu &amp; Hsu, 2003; Ruigrok &amp; Wagner, 2003), chữ M (M-curve; Riahi-Belkaoui, 1998), và gánh nặng bắt buộc (forced penalty; Glaum &amp; Oesterle, 2007). Sự đa dạng này phản ánh tính phụ thuộc ngữ cảnh của hiệu ứng quốc tế hóa: cùng một mức cường độ xuất khẩu có thể tạo ra lợi ích hoặc gánh nặng tùy theo năng lực doanh nghiệp, thể chế quốc gia, và giai đoạn phát triển số (Bausch &amp; Krist, 2007; Kirca et al., 2012; Marano et al., 2016; Wu, Wood &amp; Khan, 2022). Thực vậy, các nghiên cứu gần đây sử dụng chiến lược nhận diện chặt chẽ hơn cho thấy dạng chữ U ngược có thể suy yếu hoặc biến mất trong các mẫu gộp xuyên quốc gia (Pisani, Garcia-Bernardo &amp; Heemskerk, 2020), càng củng cố lập luận rằng chính dị biệt bối cảnh chi phối kết quả quốc tế hóa và hiệu quả.</w:t>
      </w:r>
    </w:p>
    <w:p>
      <w:pPr>
        <w:pStyle w:val="BodyText"/>
      </w:pPr>
      <w:r>
        <w:t xml:space="preserve">Châu Á trong giai đoạn 2009–2025 là phòng thí nghiệm tự nhiên độc đáo cho nghiên cứu quan hệ quốc tế hóa và hiệu quả. Khu vực này tồn tại đồng thời ít nhất sáu chế độ thể chế khác nhau theo khung phân loại ICRV: nhóm tiên tiến đổi mới sáng tạo dẫn dắt (ICRV Nhóm I) gồm Singapore, Hong Kong SAR, Hàn Quốc, Đài Loan, Israel; nhóm tiên tiến tài nguyên dẫn dắt (ICRV Nhóm II) gồm Saudi Arabia, Qatar, Kuwait, Bahrain, Brunei, Oman; nhóm trung bình cao (ICRV Nhóm III) gồm Trung Quốc, Malaysia, Thái Lan, Kazakhstan, Armenia, Georgia; nhóm chuyển đổi thu nhập trung bình–thấp (ICRV Nhóm IV,</w:t>
      </w:r>
      <w:r>
        <w:t xml:space="preserve"> </w:t>
      </w:r>
      <w:r>
        <w:rPr>
          <w:rStyle w:val="VerbatimChar"/>
        </w:rPr>
        <w:t xml:space="preserve">Lower_mid_transition</w:t>
      </w:r>
      <w:r>
        <w:t xml:space="preserve">) gồm Việt Nam, Ấn Độ, Indonesia, Philippines, Mông Cổ, Bangladesh, Pakistan; nhóm đang nổi (ICRV Nhóm V,</w:t>
      </w:r>
      <w:r>
        <w:t xml:space="preserve"> </w:t>
      </w:r>
      <w:r>
        <w:rPr>
          <w:rStyle w:val="VerbatimChar"/>
        </w:rPr>
        <w:t xml:space="preserve">Emerging</w:t>
      </w:r>
      <w:r>
        <w:t xml:space="preserve">) gồm 17 nền kinh tế (gồm Sri Lanka, Jordan); và nhóm quốc đảo nhỏ (ICRV Nhóm VI,</w:t>
      </w:r>
      <w:r>
        <w:t xml:space="preserve"> </w:t>
      </w:r>
      <w:r>
        <w:rPr>
          <w:rStyle w:val="VerbatimChar"/>
        </w:rPr>
        <w:t xml:space="preserve">SIDS_small</w:t>
      </w:r>
      <w:r>
        <w:t xml:space="preserve">) gồm 8 nền (7 Pacific + Timor-Leste). Tổng cộng 50 nền kinh tế (gồm Nhật Bản) châu Á–Thái Bình Dương tạo thành 103 cặp quốc gia-năm qua 14 mốc khảo sát.</w:t>
      </w:r>
    </w:p>
    <w:p>
      <w:pPr>
        <w:pStyle w:val="BodyText"/>
      </w:pPr>
      <w:r>
        <w:t xml:space="preserve">Đồng thời, châu Á đang trải qua chuyển đổi số chưa từng có trong giai đoạn 2018–2025. Sự bùng nổ của hạ tầng số và trí tuệ nhân tạo từ năm 2023 đã tái định hình cơ chế qua đó năng lực số tác động lên quốc tế hóa và hiệu quả (Bharadwaj et al., 2013; Banalieva &amp; Dhanaraj, 2019; Verhoef et al., 2021; Yang, Zhao &amp; Wei, 2025).</w:t>
      </w:r>
    </w:p>
    <w:p>
      <w:pPr>
        <w:pStyle w:val="BodyText"/>
      </w:pPr>
      <w:r>
        <w:t xml:space="preserve">Khung lý thuyết hiện hành về quan hệ quốc tế hóa và hiệu quả còn phân tán. Các tổng quan lớn thường tập trung vào một hoặc hai khía cạnh mà ít có khung tích hợp đa tầng cho phép giải thích đầy đủ tính không đồng nhất quan sát được ở châu Á. Đặc biệt, khung áp dụng số nền tảng (Foundational Digital Adoption Framework) chỉ mới được đề xuất gần đây và chưa được tích hợp đầy đủ với bốn tầng lý thuyết kinh điển.</w:t>
      </w:r>
    </w:p>
    <w:p>
      <w:pPr>
        <w:pStyle w:val="BodyText"/>
      </w:pPr>
      <w:r>
        <w:t xml:space="preserve">Kết quả phân tích mô tả trong Chuyên đề Tiến sĩ số 1 đã cung cấp bức tranh thực trạng đa chiều dựa trên 88.869 doanh nghiệp WBES xuyên 50 nền kinh tế (gồm Nhật Bản), làm rõ ba khuôn mẫu then chốt: phân tán năng suất tăng đơn điệu theo chế độ từ Nhóm I đến Nhóm VI; tính không đồng nhất nội bộ trong nhóm Advanced; và khuôn mẫu adaptation đặc trưng của các quốc đảo nhỏ Thái Bình Dương. Đồng thời, phân tích đó phát hiện CDCM, Mô hình Áp dụng số và Năng lực phụ thuộc bối cảnh: tác động của DAI lên hiệu quả phụ thuộc vào chế độ thể chế, giai đoạn quốc tế hóa, và mức độ bão hòa số của nền kinh tế. Chuyên đề 2 này tiếp nối bằng cách xây dựng mô hình lý thuyết và thực nghiệm để giải thích cơ chế đằng sau các khuôn mẫu đó.</w:t>
      </w:r>
    </w:p>
    <w:p>
      <w:pPr>
        <w:pStyle w:val="BodyText"/>
      </w:pPr>
      <w:r>
        <w:t xml:space="preserve">Bốn bản thảo thực nghiệm đồng hành cung cấp bằng chứng quốc gia cụ thể kiểm định khả năng của khung đề xuất. P2 Trung Quốc SMEs (Đỗ &amp; Phan, 2026c, JFAR đã công bố) phân tích 4.290 quan sát doanh nghiệp và năm thuộc các doanh nghiệp nhỏ và vừa Trung Quốc và tìm thấy dạng chữ U ngược bậc hai với điểm uốn tối ưu 47,8% FSTS, cung cấp tiền thân thực nghiệm cho H1 và cơ sở để so sánh với P5. P3 Việt Nam (Đỗ &amp; Phan, 2026a, mục tiêu JED) phân tích 2.958 doanh nghiệp WBES ba sóng (2009, 2015, 2023) xác nhận chữ U ngược trong cả ba sóng với điểm uốn 46,2% (2009), 39,3% (2015), 41,6% (2023), 39,7% (tổng hợp); TCI nhân quả qua biến công cụ (β = 1,639, F bậc một = 22,1); DAI theo giai đoạn và phụ thuộc chọn lựa (IV null, β = 0,018). P4 Singapore (Mar, Đỗ &amp; Phan, 2026, mục tiêu MIR) phân tích 623 doanh nghiệp WBES 2023, cho thấy điểm uốn hàm ý ở FSTS khoảng 88,6% và DAI hoạt động như nguồn lực mở rộng tình huống với hệ số DAI×FSTS² = +3,119 (p = 0,005). P5 Trung Quốc (Đỗ &amp; Phan, 2026b, mục tiêu IJOEM) phân tích 4.544 doanh nghiệp WBES hai sóng (2012, 2024) xác nhận chữ U ngược bền vững cấu trúc với điểm uốn 49,4% (2012) và 47,2% (2024); kết quả này nhất quán với bằng chứng trước đó về quan hệ quốc tế hóa và hiệu quả và hiệu ứng vùng miền ở doanh nghiệp Trung Quốc (Chen &amp; Tan, 2012; Xiao et al., 2013).</w:t>
      </w:r>
    </w:p>
    <w:bookmarkEnd w:id="26"/>
    <w:bookmarkStart w:id="27" w:name="mục-tiêu"/>
    <w:p>
      <w:pPr>
        <w:pStyle w:val="Heading4"/>
      </w:pPr>
      <w:r>
        <w:t xml:space="preserve">2.1.2 Mục tiêu</w:t>
      </w:r>
    </w:p>
    <w:p>
      <w:pPr>
        <w:pStyle w:val="FirstParagraph"/>
      </w:pPr>
      <w:r>
        <w:t xml:space="preserve">Mục tiêu chung: xây dựng mô hình nghiên cứu lý thuyết và thực nghiệm về ảnh hưởng của quốc tế hóa đến hiệu quả hoạt động kinh doanh của các doanh nghiệp ở các quốc gia châu Á, có khả năng kiểm định bằng dữ liệu WBES 88.869 doanh nghiệp xuyên 50 nền kinh tế (gồm Nhật Bản) giai đoạn 2009–2025.</w:t>
      </w:r>
    </w:p>
    <w:p>
      <w:pPr>
        <w:pStyle w:val="BodyText"/>
      </w:pPr>
      <w:r>
        <w:t xml:space="preserve">Các mục tiêu cụ thể:</w:t>
      </w:r>
    </w:p>
    <w:p>
      <w:pPr>
        <w:numPr>
          <w:ilvl w:val="0"/>
          <w:numId w:val="1001"/>
        </w:numPr>
      </w:pPr>
      <w:r>
        <w:t xml:space="preserve">Hệ thống hóa khung lý thuyết tích hợp 4 tầng (Uppsala, RBV, Institutional Theory, Upper Echelons) kết hợp Foundational Digital Adoption Framework và CDCM.</w:t>
      </w:r>
    </w:p>
    <w:p>
      <w:pPr>
        <w:numPr>
          <w:ilvl w:val="0"/>
          <w:numId w:val="1001"/>
        </w:numPr>
      </w:pPr>
      <w:r>
        <w:t xml:space="preserve">Lược khảo các mô hình quốc tế hóa và hiệu quả trên thế giới và châu Á, định vị khoảng trống nghiên cứu.</w:t>
      </w:r>
    </w:p>
    <w:p>
      <w:pPr>
        <w:numPr>
          <w:ilvl w:val="0"/>
          <w:numId w:val="1001"/>
        </w:numPr>
      </w:pPr>
      <w:r>
        <w:t xml:space="preserve">Phát triển hệ giả thuyết H1–H6 dựa trên khung tích hợp, có neo đậu từ bằng chứng P3, P4, P5.</w:t>
      </w:r>
    </w:p>
    <w:p>
      <w:pPr>
        <w:numPr>
          <w:ilvl w:val="0"/>
          <w:numId w:val="1001"/>
        </w:numPr>
      </w:pPr>
      <w:r>
        <w:t xml:space="preserve">Mô hình tám mô hình thực nghiệm M0–M7 với khả năng kiểm định trên dữ liệu WBES.</w:t>
      </w:r>
    </w:p>
    <w:p>
      <w:pPr>
        <w:numPr>
          <w:ilvl w:val="0"/>
          <w:numId w:val="1001"/>
        </w:numPr>
      </w:pPr>
      <w:r>
        <w:t xml:space="preserve">Đề xuất chiến lược nhận dạng và kiểm định độ vững toàn diện.</w:t>
      </w:r>
    </w:p>
    <w:p>
      <w:pPr>
        <w:numPr>
          <w:ilvl w:val="0"/>
          <w:numId w:val="1001"/>
        </w:numPr>
      </w:pPr>
      <w:r>
        <w:t xml:space="preserve">Khẳng định tính mới về mô hình so với các khung tham chiếu hiện hành.</w:t>
      </w:r>
    </w:p>
    <w:bookmarkEnd w:id="27"/>
    <w:bookmarkStart w:id="28" w:name="nội-dung"/>
    <w:p>
      <w:pPr>
        <w:pStyle w:val="Heading4"/>
      </w:pPr>
      <w:r>
        <w:t xml:space="preserve">2.1.3 Nội dung</w:t>
      </w:r>
    </w:p>
    <w:p>
      <w:pPr>
        <w:pStyle w:val="FirstParagraph"/>
      </w:pPr>
      <w:r>
        <w:t xml:space="preserve">Chuyên đề trả lời ba câu hỏi nghiên cứu chính:</w:t>
      </w:r>
    </w:p>
    <w:p>
      <w:pPr>
        <w:pStyle w:val="BodyText"/>
      </w:pPr>
      <w:r>
        <w:t xml:space="preserve">Câu hỏi 1 (Q1): Quan hệ giữa cường độ quốc tế hóa (I) và hiệu quả hoạt động kinh doanh (P) ở các doanh nghiệp châu Á có dạng hàm gì? Tuyến tính, phi tuyến hay phụ thuộc vào ngữ cảnh?</w:t>
      </w:r>
    </w:p>
    <w:p>
      <w:pPr>
        <w:pStyle w:val="BodyText"/>
      </w:pPr>
      <w:r>
        <w:t xml:space="preserve">Câu hỏi 2 (Q2): Bốn cơ chế điều tiết, năng lực công nghệ TCI, mức độ áp dụng số DAI, đặc điểm nhà quản trị, chế độ thể chế nội địa, tác động như thế nào lên quan hệ quốc tế hóa và hiệu quả? Có phân biệt được giữa TCI và DAI theo CDCM hay không?</w:t>
      </w:r>
    </w:p>
    <w:p>
      <w:pPr>
        <w:pStyle w:val="BodyText"/>
      </w:pPr>
      <w:r>
        <w:t xml:space="preserve">Câu hỏi 3 (Q3): Tác động quốc tế hóa và hiệu quả và cơ chế điều tiết có thay đổi theo thời gian không, đặc biệt giữa giai đoạn 2009–2012 và 2018–2025?</w:t>
      </w:r>
    </w:p>
    <w:bookmarkEnd w:id="28"/>
    <w:bookmarkStart w:id="29" w:name="giới-hạn-của-chuyên-đề"/>
    <w:p>
      <w:pPr>
        <w:pStyle w:val="Heading4"/>
      </w:pPr>
      <w:r>
        <w:t xml:space="preserve">2.1.4 Giới hạn của chuyên đề</w:t>
      </w:r>
    </w:p>
    <w:p>
      <w:pPr>
        <w:pStyle w:val="FirstParagraph"/>
      </w:pPr>
      <w:r>
        <w:t xml:space="preserve">Đối tượng nghiên cứu: doanh nghiệp đang hoạt động ở các nền kinh tế châu Á và Thái Bình Dương đáp ứng tiêu chí mẫu của WBES.</w:t>
      </w:r>
    </w:p>
    <w:p>
      <w:pPr>
        <w:pStyle w:val="BodyText"/>
      </w:pPr>
      <w:r>
        <w:t xml:space="preserve">Phạm vi không gian: 50 nền kinh tế (gồm Nhật Bản) phân theo sáu nhóm ICRV (6+6+6+7+17+8).</w:t>
      </w:r>
    </w:p>
    <w:p>
      <w:pPr>
        <w:pStyle w:val="BodyText"/>
      </w:pPr>
      <w:r>
        <w:t xml:space="preserve">Phạm vi thời gian: 2009–2026 (kèm đợt khảo sát Oman 2026 trong bộ dữ liệu hợp nhất), bao trùm ba thế hệ lược đồ WBES, tạo thành 103 cặp nền kinh tế–năm trên khung phân tích 50 nền (gồm Nhật Bản).</w:t>
      </w:r>
    </w:p>
    <w:p>
      <w:pPr>
        <w:pStyle w:val="BodyText"/>
      </w:pPr>
      <w:r>
        <w:t xml:space="preserve">Phạm vi nội dung: mô hình hóa quan hệ quốc tế hóa và hiệu quả và bốn cơ chế điều tiết cộng với tính không đồng nhất theo thời gian. Chuyên đề không trình bày kết quả thực nghiệm từ toàn bộ mẫu gộp, đó là nhiệm vụ của các bài báo tiếp theo trong chuỗi luận án. Chuyên đề này tập trung xây dựng và thiết lập mô hình.</w:t>
      </w:r>
    </w:p>
    <w:bookmarkEnd w:id="29"/>
    <w:bookmarkStart w:id="30" w:name="ý-nghĩa"/>
    <w:p>
      <w:pPr>
        <w:pStyle w:val="Heading4"/>
      </w:pPr>
      <w:r>
        <w:t xml:space="preserve">2.1.5 Ý nghĩa</w:t>
      </w:r>
    </w:p>
    <w:p>
      <w:pPr>
        <w:pStyle w:val="FirstParagraph"/>
      </w:pPr>
      <w:r>
        <w:t xml:space="preserve">Về lý thuyết, chuyên đề đóng góp khung tích hợp 4 tầng kết hợp Khung chấp nhận số nền tảng, chưa có khung tương đương trong tài liệu IB cho khu vực 50 nền kinh tế (gồm Nhật Bản) bao gồm cả quốc đảo nhỏ Thái Bình Dương. CDCM làm sắc nét sự phân biệt giữa TCI như nguồn lực nâng mặt bằng và DAI như nguồn lực mở rộng tình huống.</w:t>
      </w:r>
    </w:p>
    <w:p>
      <w:pPr>
        <w:pStyle w:val="BodyText"/>
      </w:pPr>
      <w:r>
        <w:t xml:space="preserve">Về mô hình, tám mô hình M0–M7 với điều tiết ba chiều (M7) là chuỗi mô hình đầu tiên trong tài liệu châu Á kiểm định đồng thời phi tuyến quốc tế hóa và hiệu quả và điều tiết đa tầng trên mẫu gộp vi mô lớn nhất từ trước đến nay.</w:t>
      </w:r>
    </w:p>
    <w:p>
      <w:pPr>
        <w:pStyle w:val="BodyText"/>
      </w:pPr>
      <w:r>
        <w:t xml:space="preserve">Về thực tiễn, kết quả cung cấp hàm ý chính sách cho doanh nghiệp Việt Nam và châu Á mới nổi về cách tận dụng quốc tế hóa kết hợp năng lực công nghệ và số hóa, đặc biệt trong giai đoạn AI bùng nổ.</w:t>
      </w:r>
    </w:p>
    <w:p>
      <w:r>
        <w:pict>
          <v:rect style="width:0;height:1.5pt" o:hralign="center" o:hrstd="t" o:hr="t"/>
        </w:pict>
      </w:r>
    </w:p>
    <w:bookmarkEnd w:id="30"/>
    <w:bookmarkEnd w:id="31"/>
    <w:bookmarkStart w:id="32" w:name="phương-pháp-nghiên-cứu"/>
    <w:p>
      <w:pPr>
        <w:pStyle w:val="Heading3"/>
      </w:pPr>
      <w:r>
        <w:t xml:space="preserve">2.2 Phương pháp nghiên cứu</w:t>
      </w:r>
    </w:p>
    <w:p>
      <w:pPr>
        <w:pStyle w:val="FirstParagraph"/>
      </w:pPr>
      <w:r>
        <w:t xml:space="preserve">Chuyên đề tiếp cận theo lối tổng quan tài liệu tích hợp (Torraco, 2005) cho khung lý thuyết và phát triển giả thuyết suy diễn (deductive hypothesis development) cho hệ giả thuyết. Thiết lập mô hình thực nghiệm tuân theo Wooldridge (2010) và Long &amp; Ervin (2000). Thiết kế nhận dạng và kiểm định độ vững theo Greene (2018). Hệ giả thuyết được neo đậu vào bằng chứng thực nghiệm từ P3, P4, P5 theo nguyên tắc nghiên cứu dựa trên hiện tượng (Meyer et al., 2017).</w:t>
      </w:r>
    </w:p>
    <w:p>
      <w:pPr>
        <w:pStyle w:val="BodyText"/>
      </w:pPr>
      <w:r>
        <w:t xml:space="preserve">Phương pháp ước lượng chính: OLS với HC1 sai số chuẩn vững (Long &amp; Ervin, 2000) làm chuẩn, hai chiều hiệu ứng cố định (country × year), và biến công cụ (2SLS) để nhận dạng nhân quả cho TCI và DAI. Kiểm định phi tuyến áp dụng Lind–Mehlum (2010) U-test để xác nhận chữ U ngược thực sự và kiểm định Paternoster để so sánh điểm uốn giữa các nhóm ICRV và giai đoạn thời gian. Phần mềm: Stata 18 (OLS, IV, margins) kết hợp R (LOWESS, ggplot2, CI điểm uốn).</w:t>
      </w:r>
    </w:p>
    <w:p>
      <w:r>
        <w:pict>
          <v:rect style="width:0;height:1.5pt" o:hralign="center" o:hrstd="t" o:hr="t"/>
        </w:pict>
      </w:r>
    </w:p>
    <w:bookmarkEnd w:id="32"/>
    <w:bookmarkStart w:id="85" w:name="kết-quả-và-thảo-luận"/>
    <w:p>
      <w:pPr>
        <w:pStyle w:val="Heading3"/>
      </w:pPr>
      <w:r>
        <w:t xml:space="preserve">2.3 Kết quả và thảo luận</w:t>
      </w:r>
    </w:p>
    <w:bookmarkStart w:id="36" w:name="X738edd18734ed39dd3ad1441b2baf3f5818c8a1"/>
    <w:p>
      <w:pPr>
        <w:pStyle w:val="Heading4"/>
      </w:pPr>
      <w:r>
        <w:t xml:space="preserve">2.3.1 Tổng quan tài liệu về quan hệ quốc tế hóa và hiệu quả kinh doanh</w:t>
      </w:r>
    </w:p>
    <w:bookmarkStart w:id="33" w:name="X164425e602d73f49b1675f9cb337c873d1b4113"/>
    <w:p>
      <w:pPr>
        <w:pStyle w:val="Heading5"/>
      </w:pPr>
      <w:r>
        <w:t xml:space="preserve">Năm dạng hàm của quan hệ quốc tế hóa và hiệu quả</w:t>
      </w:r>
    </w:p>
    <w:p>
      <w:pPr>
        <w:pStyle w:val="FirstParagraph"/>
      </w:pPr>
      <w:r>
        <w:t xml:space="preserve">Tài liệu IB đã ghi nhận không dưới năm dạng hàm khác nhau trong quan hệ giữa cường độ quốc tế hóa và hiệu quả hoạt động kinh doanh của doanh nghiệp. Sự đa dạng này không phải ngẫu nhiên mà phản ánh tính phụ thuộc ngữ cảnh của hiệu ứng quốc tế hóa.</w:t>
      </w:r>
    </w:p>
    <w:p>
      <w:pPr>
        <w:pStyle w:val="BodyText"/>
      </w:pPr>
      <w:r>
        <w:t xml:space="preserve">Dạng hàm thứ nhất, tuyến tính. Các nghiên cứu sớm như Hsu và Boggs (2003) và Geringer và cộng sự (1989) tìm thấy mối quan hệ tuyến tính dương: hiệu quả tăng đơn điệu theo mức độ quốc tế hóa. Logic nền tảng là lợi ích quy mô, đa dạng hóa doanh thu, và tiếp cận thị trường lớn hơn. Đây là kết quả đặc thù của các mẫu với FSTS thấp hoặc phân tán hẹp.</w:t>
      </w:r>
    </w:p>
    <w:p>
      <w:pPr>
        <w:pStyle w:val="BodyText"/>
      </w:pPr>
      <w:r>
        <w:t xml:space="preserve">Dạng hàm thứ hai, chữ U ngược. Hitt, Hoskisson và Kim (1997) và Gomes và Ramaswamy (1999) đề xuất mô hình chữ U ngược: hiệu quả tăng ở giai đoạn quốc tế hóa ban đầu đến trung bình do lợi ích quy mô và học hỏi, nhưng giảm sau điểm uốn tối ưu do chi phí điều phối đa thị trường vượt lợi ích. Điểm uốn thực nghiệm thường nằm trong khoảng 30–60% FSTS (Marano et al., 2016). Đây là dạng hàm phổ biến nhất trong các tổng quan định lượng.</w:t>
      </w:r>
    </w:p>
    <w:p>
      <w:pPr>
        <w:pStyle w:val="BodyText"/>
      </w:pPr>
      <w:r>
        <w:t xml:space="preserve">Dạng hàm thứ ba, đường cong chữ S ba giai đoạn (S-curve). Lu và Beamish (2004) và Contractor, Kundu và Hsu (2003) phát triển lý thuyết ba giai đoạn: giai đoạn đầu hiệu quả giảm do chi phí học tập và thiết lập; giai đoạn giữa hiệu quả tăng do lợi ích quy mô và đa dạng hóa; giai đoạn quá mức hiệu quả giảm do chi phí phối hợp. Dạng chữ S có hệ số β₁(FSTS) &gt; 0, β₂(FSTS²) &lt; 0, β₃(FSTS³) &gt; 0. Bằng chứng hỗ trợ mạnh từ các MNE lớn, nhưng kém ổn định hơn với doanh nghiệp vừa và nhỏ.</w:t>
      </w:r>
    </w:p>
    <w:p>
      <w:pPr>
        <w:pStyle w:val="BodyText"/>
      </w:pPr>
      <w:r>
        <w:t xml:space="preserve">Dạng hàm thứ tư, đường cong chữ M (M-curve). Riahi-Belkaoui (1998) đề xuất dạng chữ M với hai điểm uốn, phản ánh tính không đồng nhất trong lợi ích quốc tế hóa theo loại thị trường. Bằng chứng thực nghiệm hạn chế và khó tái lập.</w:t>
      </w:r>
    </w:p>
    <w:p>
      <w:pPr>
        <w:pStyle w:val="BodyText"/>
      </w:pPr>
      <w:r>
        <w:t xml:space="preserve">Dạng hàm thứ năm, gánh nặng bắt buộc (forced penalty). Glaum và Oesterle (2007) ghi nhận dạng hàm tuyến tính âm trong các nền kinh tế bắt buộc phải quốc tế hóa do thị trường nội địa quá nhỏ (Briguglio, 1995; Bertram, 2006). Đây là khuôn mẫu đặc thù của các quốc đảo nhỏ Thái Bình Dương: các doanh nghiệp phải xuất khẩu để tồn tại nhưng thiếu năng lực cạnh tranh, tạo ra gánh nặng bắt buộc, hiệu quả không tăng theo cường độ xuất khẩu.</w:t>
      </w:r>
    </w:p>
    <w:p>
      <w:pPr>
        <w:pStyle w:val="BodyText"/>
      </w:pPr>
      <w:r>
        <w:t xml:space="preserve">Tất cả năm dạng hàm có thể được thống nhất dưới khung chi phí-lợi ích (Contractor, 2012): P(FSTS) = B(FSTS) − C(FSTS), trong đó B(·) là hàm lợi ích và C(·) là hàm chi phí. Sự khác biệt giữa các dạng hàm nằm ở hình dạng của B(·) và C(·) tùy theo ngữ cảnh thể chế, năng lực doanh nghiệp, và giai đoạn số hóa.</w:t>
      </w:r>
    </w:p>
    <w:p>
      <w:pPr>
        <w:pStyle w:val="BodyText"/>
      </w:pPr>
      <w:r>
        <w:t xml:space="preserve">Bảng 2.2. Năm dạng hàm quốc tế hóa và hiệu quả, cơ chế, và bối cảnh xuất hiện.</w:t>
      </w:r>
    </w:p>
    <w:tbl>
      <w:tblPr>
        <w:tblStyle w:val="Table"/>
        <w:tblW w:type="pct" w:w="5000"/>
        <w:tblLook w:firstRow="1" w:lastRow="0" w:firstColumn="0" w:lastColumn="0" w:noHBand="0" w:noVBand="0" w:val="0020"/>
        <w:jc w:val="start"/>
      </w:tblPr>
      <w:tblGrid>
        <w:gridCol w:w="1523"/>
        <w:gridCol w:w="2893"/>
        <w:gridCol w:w="1218"/>
        <w:gridCol w:w="2284"/>
      </w:tblGrid>
      <w:tr>
        <w:trPr>
          <w:tblHeader w:val="true"/>
        </w:trPr>
        <w:tc>
          <w:tcPr/>
          <w:p>
            <w:pPr>
              <w:pStyle w:val="Compact"/>
              <w:jc w:val="left"/>
            </w:pPr>
            <w:r>
              <w:t xml:space="preserve">Dạng hàm</w:t>
            </w:r>
          </w:p>
        </w:tc>
        <w:tc>
          <w:tcPr/>
          <w:p>
            <w:pPr>
              <w:pStyle w:val="Compact"/>
              <w:jc w:val="left"/>
            </w:pPr>
            <w:r>
              <w:t xml:space="preserve">Tác giả tiêu biểu</w:t>
            </w:r>
          </w:p>
        </w:tc>
        <w:tc>
          <w:tcPr/>
          <w:p>
            <w:pPr>
              <w:pStyle w:val="Compact"/>
              <w:jc w:val="left"/>
            </w:pPr>
            <w:r>
              <w:t xml:space="preserve">Cơ chế</w:t>
            </w:r>
          </w:p>
        </w:tc>
        <w:tc>
          <w:tcPr/>
          <w:p>
            <w:pPr>
              <w:pStyle w:val="Compact"/>
              <w:jc w:val="left"/>
            </w:pPr>
            <w:r>
              <w:t xml:space="preserve">Bối cảnh ICRV</w:t>
            </w:r>
          </w:p>
        </w:tc>
      </w:tr>
      <w:tr>
        <w:tc>
          <w:tcPr/>
          <w:p>
            <w:pPr>
              <w:pStyle w:val="Compact"/>
              <w:jc w:val="left"/>
            </w:pPr>
            <w:r>
              <w:t xml:space="preserve">Tuyến tính (+)</w:t>
            </w:r>
          </w:p>
        </w:tc>
        <w:tc>
          <w:tcPr/>
          <w:p>
            <w:pPr>
              <w:pStyle w:val="Compact"/>
              <w:jc w:val="left"/>
            </w:pPr>
            <w:r>
              <w:t xml:space="preserve">Hsu &amp; Boggs (2003)</w:t>
            </w:r>
          </w:p>
        </w:tc>
        <w:tc>
          <w:tcPr/>
          <w:p>
            <w:pPr>
              <w:pStyle w:val="Compact"/>
              <w:jc w:val="left"/>
            </w:pPr>
            <w:r>
              <w:t xml:space="preserve">Quy mô + học hỏi</w:t>
            </w:r>
          </w:p>
        </w:tc>
        <w:tc>
          <w:tcPr/>
          <w:p>
            <w:pPr>
              <w:pStyle w:val="Compact"/>
              <w:jc w:val="left"/>
            </w:pPr>
            <w:r>
              <w:t xml:space="preserve">FSTS thấp, tất cả nhóm</w:t>
            </w:r>
          </w:p>
        </w:tc>
      </w:tr>
      <w:tr>
        <w:tc>
          <w:tcPr/>
          <w:p>
            <w:pPr>
              <w:pStyle w:val="Compact"/>
              <w:jc w:val="left"/>
            </w:pPr>
            <w:r>
              <w:t xml:space="preserve">Chữ U ngược</w:t>
            </w:r>
          </w:p>
        </w:tc>
        <w:tc>
          <w:tcPr/>
          <w:p>
            <w:pPr>
              <w:pStyle w:val="Compact"/>
              <w:jc w:val="left"/>
            </w:pPr>
            <w:r>
              <w:t xml:space="preserve">Hitt et al. (1997); Gomes &amp; Ramaswamy (1999)</w:t>
            </w:r>
          </w:p>
        </w:tc>
        <w:tc>
          <w:tcPr/>
          <w:p>
            <w:pPr>
              <w:pStyle w:val="Compact"/>
              <w:jc w:val="left"/>
            </w:pPr>
            <w:r>
              <w:t xml:space="preserve">Chi phí điều phối &gt; lợi ích ở FSTS cao</w:t>
            </w:r>
          </w:p>
        </w:tc>
        <w:tc>
          <w:tcPr/>
          <w:p>
            <w:pPr>
              <w:pStyle w:val="Compact"/>
              <w:jc w:val="left"/>
            </w:pPr>
            <w:r>
              <w:t xml:space="preserve">Nhóm III–IV</w:t>
            </w:r>
          </w:p>
        </w:tc>
      </w:tr>
      <w:tr>
        <w:tc>
          <w:tcPr/>
          <w:p>
            <w:pPr>
              <w:pStyle w:val="Compact"/>
              <w:jc w:val="left"/>
            </w:pPr>
            <w:r>
              <w:t xml:space="preserve">Chữ S ba giai đoạn (S-curve)</w:t>
            </w:r>
          </w:p>
        </w:tc>
        <w:tc>
          <w:tcPr/>
          <w:p>
            <w:pPr>
              <w:pStyle w:val="Compact"/>
              <w:jc w:val="left"/>
            </w:pPr>
            <w:r>
              <w:t xml:space="preserve">Lu &amp; Beamish (2004); Contractor et al. (2003)</w:t>
            </w:r>
          </w:p>
        </w:tc>
        <w:tc>
          <w:tcPr/>
          <w:p>
            <w:pPr>
              <w:pStyle w:val="Compact"/>
              <w:jc w:val="left"/>
            </w:pPr>
            <w:r>
              <w:t xml:space="preserve">Ba giai đoạn: học tập, quy mô, quá mức</w:t>
            </w:r>
          </w:p>
        </w:tc>
        <w:tc>
          <w:tcPr/>
          <w:p>
            <w:pPr>
              <w:pStyle w:val="Compact"/>
              <w:jc w:val="left"/>
            </w:pPr>
            <w:r>
              <w:t xml:space="preserve">MNE lớn, tất cả nhóm</w:t>
            </w:r>
          </w:p>
        </w:tc>
      </w:tr>
      <w:tr>
        <w:tc>
          <w:tcPr/>
          <w:p>
            <w:pPr>
              <w:pStyle w:val="Compact"/>
              <w:jc w:val="left"/>
            </w:pPr>
            <w:r>
              <w:t xml:space="preserve">Chữ M (M-curve)</w:t>
            </w:r>
          </w:p>
        </w:tc>
        <w:tc>
          <w:tcPr/>
          <w:p>
            <w:pPr>
              <w:pStyle w:val="Compact"/>
              <w:jc w:val="left"/>
            </w:pPr>
            <w:r>
              <w:t xml:space="preserve">Riahi-Belkaoui (1998)</w:t>
            </w:r>
          </w:p>
        </w:tc>
        <w:tc>
          <w:tcPr/>
          <w:p>
            <w:pPr>
              <w:pStyle w:val="Compact"/>
              <w:jc w:val="left"/>
            </w:pPr>
            <w:r>
              <w:t xml:space="preserve">Lợi ích không đồng nhất</w:t>
            </w:r>
          </w:p>
        </w:tc>
        <w:tc>
          <w:tcPr/>
          <w:p>
            <w:pPr>
              <w:pStyle w:val="Compact"/>
              <w:jc w:val="left"/>
            </w:pPr>
            <w:r>
              <w:t xml:space="preserve">Bằng chứng hạn chế</w:t>
            </w:r>
          </w:p>
        </w:tc>
      </w:tr>
      <w:tr>
        <w:tc>
          <w:tcPr/>
          <w:p>
            <w:pPr>
              <w:pStyle w:val="Compact"/>
              <w:jc w:val="left"/>
            </w:pPr>
            <w:r>
              <w:t xml:space="preserve">Forced penalty</w:t>
            </w:r>
          </w:p>
        </w:tc>
        <w:tc>
          <w:tcPr/>
          <w:p>
            <w:pPr>
              <w:pStyle w:val="Compact"/>
              <w:jc w:val="left"/>
            </w:pPr>
            <w:r>
              <w:t xml:space="preserve">Glaum &amp; Oesterle (2007)</w:t>
            </w:r>
          </w:p>
        </w:tc>
        <w:tc>
          <w:tcPr/>
          <w:p>
            <w:pPr>
              <w:pStyle w:val="Compact"/>
              <w:jc w:val="left"/>
            </w:pPr>
            <w:r>
              <w:t xml:space="preserve">Bắt buộc quốc tế hóa, thiếu năng lực</w:t>
            </w:r>
          </w:p>
        </w:tc>
        <w:tc>
          <w:tcPr/>
          <w:p>
            <w:pPr>
              <w:pStyle w:val="Compact"/>
              <w:jc w:val="left"/>
            </w:pPr>
            <w:r>
              <w:t xml:space="preserve">Nhóm VI (SIDS)</w:t>
            </w:r>
          </w:p>
        </w:tc>
      </w:tr>
    </w:tbl>
    <w:bookmarkEnd w:id="33"/>
    <w:bookmarkStart w:id="34" w:name="năm-tổng-quan-định-lượng-lớn-19802024"/>
    <w:p>
      <w:pPr>
        <w:pStyle w:val="Heading5"/>
      </w:pPr>
      <w:r>
        <w:t xml:space="preserve">Năm tổng quan định lượng lớn (1980–2024)</w:t>
      </w:r>
    </w:p>
    <w:p>
      <w:pPr>
        <w:pStyle w:val="FirstParagraph"/>
      </w:pPr>
      <w:r>
        <w:t xml:space="preserve">Năm tổng quan định lượng lớn cung cấp toàn cảnh về quan hệ quốc tế hóa và hiệu quả.</w:t>
      </w:r>
    </w:p>
    <w:p>
      <w:pPr>
        <w:pStyle w:val="BodyText"/>
      </w:pPr>
      <w:r>
        <w:t xml:space="preserve">Bausch và Krist (2007) phân tích 36 nghiên cứu (41 mẫu, 1980–2005) và tìm thấy hiệu ứng trung bình dương nhỏ, nhưng với biến động cao (SD = 0,21), cho thấy các biến điều tiết quan trọng hơn hiệu ứng trung bình. Phương pháp: hồi quy phân tích tổng hợp với 8 biến điều tiết gồm quy mô doanh nghiệp, cường độ R&amp;D, loại ngành, GDP quốc gia, khoảng cách văn hóa, phạm vi địa lý, và hai thước đo hiệu quả. Phát hiện chính: không tồn tại một hiệu ứng trung bình đơn nhất; các biến điều tiết thể chế và văn hóa giải thích lượng phương sai lớn hơn đáng kể so với biến điều tiết cấp doanh nghiệp. Hạn chế: thiếu đại diện châu Á (chỉ 8/36 nghiên cứu), không kiểm định phi tuyến có hệ thống.</w:t>
      </w:r>
    </w:p>
    <w:p>
      <w:pPr>
        <w:pStyle w:val="BodyText"/>
      </w:pPr>
      <w:r>
        <w:t xml:space="preserve">Kirca và cộng sự (2012) tổng hợp 152 mẫu độc lập từ 141 nghiên cứu, tìm thấy mối quan hệ dương trung bình nhưng với điều tiết đáng kể từ loại hình quốc tế hóa, thước đo hiệu quả, và thuộc tính doanh nghiệp. Cường độ R&amp;D là biến điều tiết cấp doanh nghiệp mạnh nhất (β_meta = +0,12, p &lt; 0,001). Hạn chế: thiếu bằng chứng từ châu Á và thị trường mới nổi; không có biến số; không bao gồm SIDS hay nền kinh tế cận biên.</w:t>
      </w:r>
    </w:p>
    <w:p>
      <w:pPr>
        <w:pStyle w:val="BodyText"/>
      </w:pPr>
      <w:r>
        <w:t xml:space="preserve">Marano và cộng sự (2016) phân tích 359 nghiên cứu với cách tiếp cận tập trung vào thể chế. Phát hiện chính: chất lượng thể chế quốc gia xuất xứ có thể dịch chuyển điểm uốn ±15% FSTS, đây là nền tảng quan trọng nhất ủng hộ phổ thể chế ICRV trong H5. Hạn chế: không phân tách TCI và DAI; không có dữ liệu sau 2015; không bao gồm quốc đảo nhỏ. Bổ sung cho Marano, Beugelsdijk và cộng sự (2018) tổng hợp bằng chứng về khoảng cách văn hóa trong quá trình quốc tế hóa và cho thấy hệ quả của quốc tế hóa phụ thuộc một cách hệ thống vào khoảng cách văn hóa và thể chế giữa thị trường nguồn và đích; phát hiện này bổ trợ cho phổ thể chế ICRV của CĐ2 ở chỗ khoảng cách và chất lượng thể chế là hai chiều bối cảnh khác nhau cùng định hình quan hệ, không trùng lặp.</w:t>
      </w:r>
    </w:p>
    <w:p>
      <w:pPr>
        <w:pStyle w:val="BodyText"/>
      </w:pPr>
      <w:r>
        <w:t xml:space="preserve">Wu, Wood và Khan (2022) tổng hợp 20 năm bằng chứng từ doanh nghiệp đa quốc gia thị trường mới nổi, tìm thấy điểm uốn thấp hơn so với doanh nghiệp từ nền kinh tế phát triển khoảng 12–18% FSTS do khoảng cách năng lực hấp thụ. Hạn chế: không kiểm định giai đoạn số hóa; không sử dụng dữ liệu vi mô WBES; không phân biệt TCI và DAI.</w:t>
      </w:r>
    </w:p>
    <w:p>
      <w:pPr>
        <w:pStyle w:val="BodyText"/>
      </w:pPr>
      <w:r>
        <w:t xml:space="preserve">Schwens và cộng sự (2018) tập trung vào doanh nghiệp vừa và nhỏ và tìm thấy dạng U (không phải chữ U ngược) trong một số bối cảnh, chi phí quốc tế hóa ban đầu lớn so với năng lực, nhưng phục hồi sau khi vượt ngưỡng thiết lập. Hạn chế: mẫu nhỏ (87 nghiên cứu); không bao phủ châu Á Thái Bình Dương đầy đủ; không kiểm định DAI như biến điều tiết.</w:t>
      </w:r>
    </w:p>
    <w:p>
      <w:pPr>
        <w:pStyle w:val="BodyText"/>
      </w:pPr>
      <w:r>
        <w:t xml:space="preserve">Kết luận tổng quan: hiệu ứng trung bình quốc tế hóa và hiệu quả là dương nhỏ (r khoảng 0,04–0,07) nhưng rất không đồng nhất (SD = 0,15–0,21). Cả năm tổng quan đều thiếu: (i) bao phủ đầy đủ châu Á và Thái Bình Dương; (ii) kiểm định đồng thời phi tuyến và điều tiết đa tầng; (iii) phân tách TCI và DAI; (iv) bao gồm quốc đảo nhỏ Thái Bình Dương; (v) dữ liệu sau 2020. Chuyên đề này lấp đầy tất cả năm khoảng trống với mẫu gộp 88.869 doanh nghiệp (50 nền, gồm Nhật Bản) và khung CDCM.</w:t>
      </w:r>
    </w:p>
    <w:p>
      <w:pPr>
        <w:pStyle w:val="BodyText"/>
      </w:pPr>
      <w:r>
        <w:t xml:space="preserve">Bảng 2.13. So sánh đặc điểm phương pháp và phạm vi lý thuyết của các khung tham chiếu chính và CĐ2.</w:t>
      </w:r>
    </w:p>
    <w:tbl>
      <w:tblPr>
        <w:tblStyle w:val="Table"/>
        <w:tblW w:type="pct" w:w="5000"/>
        <w:tblLook w:firstRow="1" w:lastRow="0" w:firstColumn="0" w:lastColumn="0" w:noHBand="0" w:noVBand="0" w:val="0020"/>
        <w:jc w:val="start"/>
      </w:tblPr>
      <w:tblGrid>
        <w:gridCol w:w="630"/>
        <w:gridCol w:w="1260"/>
        <w:gridCol w:w="450"/>
        <w:gridCol w:w="450"/>
        <w:gridCol w:w="1170"/>
        <w:gridCol w:w="1530"/>
        <w:gridCol w:w="900"/>
        <w:gridCol w:w="990"/>
        <w:gridCol w:w="540"/>
      </w:tblGrid>
      <w:tr>
        <w:trPr>
          <w:tblHeader w:val="true"/>
        </w:trPr>
        <w:tc>
          <w:tcPr/>
          <w:p>
            <w:pPr>
              <w:pStyle w:val="Compact"/>
              <w:jc w:val="left"/>
            </w:pPr>
            <w:r>
              <w:t xml:space="preserve">Khung</w:t>
            </w:r>
          </w:p>
        </w:tc>
        <w:tc>
          <w:tcPr/>
          <w:p>
            <w:pPr>
              <w:pStyle w:val="Compact"/>
              <w:jc w:val="left"/>
            </w:pPr>
            <w:r>
              <w:t xml:space="preserve">Phi tuyến I–P</w:t>
            </w:r>
          </w:p>
        </w:tc>
        <w:tc>
          <w:tcPr/>
          <w:p>
            <w:pPr>
              <w:pStyle w:val="Compact"/>
              <w:jc w:val="left"/>
            </w:pPr>
            <w:r>
              <w:t xml:space="preserve">TCI</w:t>
            </w:r>
          </w:p>
        </w:tc>
        <w:tc>
          <w:tcPr/>
          <w:p>
            <w:pPr>
              <w:pStyle w:val="Compact"/>
              <w:jc w:val="left"/>
            </w:pPr>
            <w:r>
              <w:t xml:space="preserve">DAI</w:t>
            </w:r>
          </w:p>
        </w:tc>
        <w:tc>
          <w:tcPr/>
          <w:p>
            <w:pPr>
              <w:pStyle w:val="Compact"/>
              <w:jc w:val="left"/>
            </w:pPr>
            <w:r>
              <w:t xml:space="preserve">Đặc điểm QL</w:t>
            </w:r>
          </w:p>
        </w:tc>
        <w:tc>
          <w:tcPr/>
          <w:p>
            <w:pPr>
              <w:pStyle w:val="Compact"/>
              <w:jc w:val="left"/>
            </w:pPr>
            <w:r>
              <w:t xml:space="preserve">Thể chế (Inst.)</w:t>
            </w:r>
          </w:p>
        </w:tc>
        <w:tc>
          <w:tcPr/>
          <w:p>
            <w:pPr>
              <w:pStyle w:val="Compact"/>
              <w:jc w:val="left"/>
            </w:pPr>
            <w:r>
              <w:t xml:space="preserve">Temporal</w:t>
            </w:r>
          </w:p>
        </w:tc>
        <w:tc>
          <w:tcPr/>
          <w:p>
            <w:pPr>
              <w:pStyle w:val="Compact"/>
              <w:jc w:val="left"/>
            </w:pPr>
            <w:r>
              <w:t xml:space="preserve">Phân nhóm</w:t>
            </w:r>
          </w:p>
        </w:tc>
        <w:tc>
          <w:tcPr/>
          <w:p>
            <w:pPr>
              <w:pStyle w:val="Compact"/>
              <w:jc w:val="left"/>
            </w:pPr>
            <w:r>
              <w:t xml:space="preserve">SIDS</w:t>
            </w:r>
          </w:p>
        </w:tc>
      </w:tr>
      <w:tr>
        <w:tc>
          <w:tcPr/>
          <w:p>
            <w:pPr>
              <w:pStyle w:val="Compact"/>
              <w:jc w:val="left"/>
            </w:pPr>
            <w:r>
              <w:t xml:space="preserve">Bausch &amp; Krist (2007)</w:t>
            </w:r>
          </w:p>
        </w:tc>
        <w:tc>
          <w:tcPr/>
          <w:p>
            <w:pPr>
              <w:pStyle w:val="Compact"/>
              <w:jc w:val="left"/>
            </w:pPr>
            <w:r>
              <w:t xml:space="preserve">Không (không kiểm định hệ thống)</w:t>
            </w:r>
          </w:p>
        </w:tc>
        <w:tc>
          <w:tcPr/>
          <w:p>
            <w:pPr>
              <w:pStyle w:val="Compact"/>
              <w:jc w:val="left"/>
            </w:pPr>
            <w:r>
              <w:t xml:space="preserve">Một phần (R&amp;D proxy)</w:t>
            </w:r>
          </w:p>
        </w:tc>
        <w:tc>
          <w:tcPr/>
          <w:p>
            <w:pPr>
              <w:pStyle w:val="Compact"/>
              <w:jc w:val="left"/>
            </w:pPr>
            <w:r>
              <w:t xml:space="preserve">Không</w:t>
            </w:r>
          </w:p>
        </w:tc>
        <w:tc>
          <w:tcPr/>
          <w:p>
            <w:pPr>
              <w:pStyle w:val="Compact"/>
              <w:jc w:val="left"/>
            </w:pPr>
            <w:r>
              <w:t xml:space="preserve">Không</w:t>
            </w:r>
          </w:p>
        </w:tc>
        <w:tc>
          <w:tcPr/>
          <w:p>
            <w:pPr>
              <w:pStyle w:val="Compact"/>
              <w:jc w:val="left"/>
            </w:pPr>
            <w:r>
              <w:t xml:space="preserve">Có (GDP, văn hóa)</w:t>
            </w:r>
          </w:p>
        </w:tc>
        <w:tc>
          <w:tcPr/>
          <w:p>
            <w:pPr>
              <w:pStyle w:val="Compact"/>
              <w:jc w:val="left"/>
            </w:pPr>
            <w:r>
              <w:t xml:space="preserve">Không</w:t>
            </w:r>
          </w:p>
        </w:tc>
        <w:tc>
          <w:tcPr/>
          <w:p>
            <w:pPr>
              <w:pStyle w:val="Compact"/>
              <w:jc w:val="left"/>
            </w:pPr>
            <w:r>
              <w:t xml:space="preserve">Không</w:t>
            </w:r>
          </w:p>
        </w:tc>
        <w:tc>
          <w:tcPr/>
          <w:p>
            <w:pPr>
              <w:pStyle w:val="Compact"/>
              <w:jc w:val="left"/>
            </w:pPr>
            <w:r>
              <w:t xml:space="preserve">Không</w:t>
            </w:r>
          </w:p>
        </w:tc>
      </w:tr>
      <w:tr>
        <w:tc>
          <w:tcPr/>
          <w:p>
            <w:pPr>
              <w:pStyle w:val="Compact"/>
              <w:jc w:val="left"/>
            </w:pPr>
            <w:r>
              <w:t xml:space="preserve">Kirca et al. (2012)</w:t>
            </w:r>
          </w:p>
        </w:tc>
        <w:tc>
          <w:tcPr/>
          <w:p>
            <w:pPr>
              <w:pStyle w:val="Compact"/>
              <w:jc w:val="left"/>
            </w:pPr>
            <w:r>
              <w:t xml:space="preserve">Không</w:t>
            </w:r>
          </w:p>
        </w:tc>
        <w:tc>
          <w:tcPr/>
          <w:p>
            <w:pPr>
              <w:pStyle w:val="Compact"/>
              <w:jc w:val="left"/>
            </w:pPr>
            <w:r>
              <w:t xml:space="preserve">Có (R&amp;D proxy)</w:t>
            </w:r>
          </w:p>
        </w:tc>
        <w:tc>
          <w:tcPr/>
          <w:p>
            <w:pPr>
              <w:pStyle w:val="Compact"/>
              <w:jc w:val="left"/>
            </w:pPr>
            <w:r>
              <w:t xml:space="preserve">Không</w:t>
            </w:r>
          </w:p>
        </w:tc>
        <w:tc>
          <w:tcPr/>
          <w:p>
            <w:pPr>
              <w:pStyle w:val="Compact"/>
              <w:jc w:val="left"/>
            </w:pPr>
            <w:r>
              <w:t xml:space="preserve">Không</w:t>
            </w:r>
          </w:p>
        </w:tc>
        <w:tc>
          <w:tcPr/>
          <w:p>
            <w:pPr>
              <w:pStyle w:val="Compact"/>
              <w:jc w:val="left"/>
            </w:pPr>
            <w:r>
              <w:t xml:space="preserve">Một phần</w:t>
            </w:r>
          </w:p>
        </w:tc>
        <w:tc>
          <w:tcPr/>
          <w:p>
            <w:pPr>
              <w:pStyle w:val="Compact"/>
              <w:jc w:val="left"/>
            </w:pPr>
            <w:r>
              <w:t xml:space="preserve">Không</w:t>
            </w:r>
          </w:p>
        </w:tc>
        <w:tc>
          <w:tcPr/>
          <w:p>
            <w:pPr>
              <w:pStyle w:val="Compact"/>
              <w:jc w:val="left"/>
            </w:pPr>
            <w:r>
              <w:t xml:space="preserve">Một phần (ngành)</w:t>
            </w:r>
          </w:p>
        </w:tc>
        <w:tc>
          <w:tcPr/>
          <w:p>
            <w:pPr>
              <w:pStyle w:val="Compact"/>
              <w:jc w:val="left"/>
            </w:pPr>
            <w:r>
              <w:t xml:space="preserve">Không</w:t>
            </w:r>
          </w:p>
        </w:tc>
      </w:tr>
      <w:tr>
        <w:tc>
          <w:tcPr/>
          <w:p>
            <w:pPr>
              <w:pStyle w:val="Compact"/>
              <w:jc w:val="left"/>
            </w:pPr>
            <w:r>
              <w:t xml:space="preserve">Marano et al. (2016)</w:t>
            </w:r>
          </w:p>
        </w:tc>
        <w:tc>
          <w:tcPr/>
          <w:p>
            <w:pPr>
              <w:pStyle w:val="Compact"/>
              <w:jc w:val="left"/>
            </w:pPr>
            <w:r>
              <w:t xml:space="preserve">Có (TP ±15% FSTS)</w:t>
            </w:r>
          </w:p>
        </w:tc>
        <w:tc>
          <w:tcPr/>
          <w:p>
            <w:pPr>
              <w:pStyle w:val="Compact"/>
              <w:jc w:val="left"/>
            </w:pPr>
            <w:r>
              <w:t xml:space="preserve">Không</w:t>
            </w:r>
          </w:p>
        </w:tc>
        <w:tc>
          <w:tcPr/>
          <w:p>
            <w:pPr>
              <w:pStyle w:val="Compact"/>
              <w:jc w:val="left"/>
            </w:pPr>
            <w:r>
              <w:t xml:space="preserve">Không</w:t>
            </w:r>
          </w:p>
        </w:tc>
        <w:tc>
          <w:tcPr/>
          <w:p>
            <w:pPr>
              <w:pStyle w:val="Compact"/>
              <w:jc w:val="left"/>
            </w:pPr>
            <w:r>
              <w:t xml:space="preserve">Không</w:t>
            </w:r>
          </w:p>
        </w:tc>
        <w:tc>
          <w:tcPr/>
          <w:p>
            <w:pPr>
              <w:pStyle w:val="Compact"/>
              <w:jc w:val="left"/>
            </w:pPr>
            <w:r>
              <w:t xml:space="preserve">Có (cốt lõi)</w:t>
            </w:r>
          </w:p>
        </w:tc>
        <w:tc>
          <w:tcPr/>
          <w:p>
            <w:pPr>
              <w:pStyle w:val="Compact"/>
              <w:jc w:val="left"/>
            </w:pPr>
            <w:r>
              <w:t xml:space="preserve">Không</w:t>
            </w:r>
          </w:p>
        </w:tc>
        <w:tc>
          <w:tcPr/>
          <w:p>
            <w:pPr>
              <w:pStyle w:val="Compact"/>
              <w:jc w:val="left"/>
            </w:pPr>
            <w:r>
              <w:t xml:space="preserve">Không</w:t>
            </w:r>
          </w:p>
        </w:tc>
        <w:tc>
          <w:tcPr/>
          <w:p>
            <w:pPr>
              <w:pStyle w:val="Compact"/>
              <w:jc w:val="left"/>
            </w:pPr>
            <w:r>
              <w:t xml:space="preserve">Không</w:t>
            </w:r>
          </w:p>
        </w:tc>
      </w:tr>
      <w:tr>
        <w:tc>
          <w:tcPr/>
          <w:p>
            <w:pPr>
              <w:pStyle w:val="Compact"/>
              <w:jc w:val="left"/>
            </w:pPr>
            <w:r>
              <w:t xml:space="preserve">Banalieva &amp; Dhanaraj (2019)</w:t>
            </w:r>
          </w:p>
        </w:tc>
        <w:tc>
          <w:tcPr/>
          <w:p>
            <w:pPr>
              <w:pStyle w:val="Compact"/>
              <w:jc w:val="left"/>
            </w:pPr>
            <w:r>
              <w:t xml:space="preserve">Một phần</w:t>
            </w:r>
          </w:p>
        </w:tc>
        <w:tc>
          <w:tcPr/>
          <w:p>
            <w:pPr>
              <w:pStyle w:val="Compact"/>
              <w:jc w:val="left"/>
            </w:pPr>
            <w:r>
              <w:t xml:space="preserve">Không</w:t>
            </w:r>
          </w:p>
        </w:tc>
        <w:tc>
          <w:tcPr/>
          <w:p>
            <w:pPr>
              <w:pStyle w:val="Compact"/>
              <w:jc w:val="left"/>
            </w:pPr>
            <w:r>
              <w:t xml:space="preserve">Có (cốt lõi)</w:t>
            </w:r>
          </w:p>
        </w:tc>
        <w:tc>
          <w:tcPr/>
          <w:p>
            <w:pPr>
              <w:pStyle w:val="Compact"/>
              <w:jc w:val="left"/>
            </w:pPr>
            <w:r>
              <w:t xml:space="preserve">Không</w:t>
            </w:r>
          </w:p>
        </w:tc>
        <w:tc>
          <w:tcPr/>
          <w:p>
            <w:pPr>
              <w:pStyle w:val="Compact"/>
              <w:jc w:val="left"/>
            </w:pPr>
            <w:r>
              <w:t xml:space="preserve">Một phần</w:t>
            </w:r>
          </w:p>
        </w:tc>
        <w:tc>
          <w:tcPr/>
          <w:p>
            <w:pPr>
              <w:pStyle w:val="Compact"/>
              <w:jc w:val="left"/>
            </w:pPr>
            <w:r>
              <w:t xml:space="preserve">Một phần</w:t>
            </w:r>
          </w:p>
        </w:tc>
        <w:tc>
          <w:tcPr/>
          <w:p>
            <w:pPr>
              <w:pStyle w:val="Compact"/>
              <w:jc w:val="left"/>
            </w:pPr>
            <w:r>
              <w:t xml:space="preserve">Không</w:t>
            </w:r>
          </w:p>
        </w:tc>
        <w:tc>
          <w:tcPr/>
          <w:p>
            <w:pPr>
              <w:pStyle w:val="Compact"/>
              <w:jc w:val="left"/>
            </w:pPr>
            <w:r>
              <w:t xml:space="preserve">Không</w:t>
            </w:r>
          </w:p>
        </w:tc>
      </w:tr>
      <w:tr>
        <w:tc>
          <w:tcPr/>
          <w:p>
            <w:pPr>
              <w:pStyle w:val="Compact"/>
              <w:jc w:val="left"/>
            </w:pPr>
            <w:r>
              <w:t xml:space="preserve">Wu, Wood &amp; Khan (2022)</w:t>
            </w:r>
          </w:p>
        </w:tc>
        <w:tc>
          <w:tcPr/>
          <w:p>
            <w:pPr>
              <w:pStyle w:val="Compact"/>
              <w:jc w:val="left"/>
            </w:pPr>
            <w:r>
              <w:t xml:space="preserve">Có (TP thấp hơn EMNE)</w:t>
            </w:r>
          </w:p>
        </w:tc>
        <w:tc>
          <w:tcPr/>
          <w:p>
            <w:pPr>
              <w:pStyle w:val="Compact"/>
              <w:jc w:val="left"/>
            </w:pPr>
            <w:r>
              <w:t xml:space="preserve">Một phần (absorptive capacity)</w:t>
            </w:r>
          </w:p>
        </w:tc>
        <w:tc>
          <w:tcPr/>
          <w:p>
            <w:pPr>
              <w:pStyle w:val="Compact"/>
              <w:jc w:val="left"/>
            </w:pPr>
            <w:r>
              <w:t xml:space="preserve">Không</w:t>
            </w:r>
          </w:p>
        </w:tc>
        <w:tc>
          <w:tcPr/>
          <w:p>
            <w:pPr>
              <w:pStyle w:val="Compact"/>
              <w:jc w:val="left"/>
            </w:pPr>
            <w:r>
              <w:t xml:space="preserve">Không</w:t>
            </w:r>
          </w:p>
        </w:tc>
        <w:tc>
          <w:tcPr/>
          <w:p>
            <w:pPr>
              <w:pStyle w:val="Compact"/>
              <w:jc w:val="left"/>
            </w:pPr>
            <w:r>
              <w:t xml:space="preserve">Có</w:t>
            </w:r>
          </w:p>
        </w:tc>
        <w:tc>
          <w:tcPr/>
          <w:p>
            <w:pPr>
              <w:pStyle w:val="Compact"/>
              <w:jc w:val="left"/>
            </w:pPr>
            <w:r>
              <w:t xml:space="preserve">Có (20 năm)</w:t>
            </w:r>
          </w:p>
        </w:tc>
        <w:tc>
          <w:tcPr/>
          <w:p>
            <w:pPr>
              <w:pStyle w:val="Compact"/>
              <w:jc w:val="left"/>
            </w:pPr>
            <w:r>
              <w:t xml:space="preserve">Có (EMNE/DMNE)</w:t>
            </w:r>
          </w:p>
        </w:tc>
        <w:tc>
          <w:tcPr/>
          <w:p>
            <w:pPr>
              <w:pStyle w:val="Compact"/>
              <w:jc w:val="left"/>
            </w:pPr>
            <w:r>
              <w:t xml:space="preserve">Không</w:t>
            </w:r>
          </w:p>
        </w:tc>
      </w:tr>
      <w:tr>
        <w:tc>
          <w:tcPr/>
          <w:p>
            <w:pPr>
              <w:pStyle w:val="Compact"/>
              <w:jc w:val="left"/>
            </w:pPr>
            <w:r>
              <w:t xml:space="preserve">Đỗ &amp; Phan (2026c, JFAR)</w:t>
            </w:r>
          </w:p>
        </w:tc>
        <w:tc>
          <w:tcPr/>
          <w:p>
            <w:pPr>
              <w:pStyle w:val="Compact"/>
              <w:jc w:val="left"/>
            </w:pPr>
            <w:r>
              <w:t xml:space="preserve">Có (chữ U ngược bậc hai)</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rPr>
                <w:bCs/>
                <w:b/>
              </w:rPr>
              <w:t xml:space="preserve">CĐ2 (luận án này)</w:t>
            </w:r>
          </w:p>
        </w:tc>
        <w:tc>
          <w:tcPr/>
          <w:p>
            <w:pPr>
              <w:pStyle w:val="Compact"/>
              <w:jc w:val="left"/>
            </w:pPr>
            <w:r>
              <w:rPr>
                <w:bCs/>
                <w:b/>
              </w:rPr>
              <w:t xml:space="preserve">Có (H1: chữ U ngược + chữ S)</w:t>
            </w:r>
          </w:p>
        </w:tc>
        <w:tc>
          <w:tcPr/>
          <w:p>
            <w:pPr>
              <w:pStyle w:val="Compact"/>
              <w:jc w:val="left"/>
            </w:pPr>
            <w:r>
              <w:rPr>
                <w:bCs/>
                <w:b/>
              </w:rPr>
              <w:t xml:space="preserve">Có (H2: nhân quả IV)</w:t>
            </w:r>
          </w:p>
        </w:tc>
        <w:tc>
          <w:tcPr/>
          <w:p>
            <w:pPr>
              <w:pStyle w:val="Compact"/>
              <w:jc w:val="left"/>
            </w:pPr>
            <w:r>
              <w:rPr>
                <w:bCs/>
                <w:b/>
              </w:rPr>
              <w:t xml:space="preserve">Có (H3: CDCM phân biệt)</w:t>
            </w:r>
          </w:p>
        </w:tc>
        <w:tc>
          <w:tcPr/>
          <w:p>
            <w:pPr>
              <w:pStyle w:val="Compact"/>
              <w:jc w:val="left"/>
            </w:pPr>
            <w:r>
              <w:rPr>
                <w:bCs/>
                <w:b/>
              </w:rPr>
              <w:t xml:space="preserve">Có (H4a–H4c)</w:t>
            </w:r>
          </w:p>
        </w:tc>
        <w:tc>
          <w:tcPr/>
          <w:p>
            <w:pPr>
              <w:pStyle w:val="Compact"/>
              <w:jc w:val="left"/>
            </w:pPr>
            <w:r>
              <w:rPr>
                <w:bCs/>
                <w:b/>
              </w:rPr>
              <w:t xml:space="preserve">Có (H5: ICRV 6 nhóm)</w:t>
            </w:r>
          </w:p>
        </w:tc>
        <w:tc>
          <w:tcPr/>
          <w:p>
            <w:pPr>
              <w:pStyle w:val="Compact"/>
              <w:jc w:val="left"/>
            </w:pPr>
            <w:r>
              <w:rPr>
                <w:bCs/>
                <w:b/>
              </w:rPr>
              <w:t xml:space="preserve">Có (H6: 3 giai đoạn)</w:t>
            </w:r>
          </w:p>
        </w:tc>
        <w:tc>
          <w:tcPr/>
          <w:p>
            <w:pPr>
              <w:pStyle w:val="Compact"/>
              <w:jc w:val="left"/>
            </w:pPr>
            <w:r>
              <w:rPr>
                <w:bCs/>
                <w:b/>
              </w:rPr>
              <w:t xml:space="preserve">Có (Nhóm I–VI)</w:t>
            </w:r>
          </w:p>
        </w:tc>
        <w:tc>
          <w:tcPr/>
          <w:p>
            <w:pPr>
              <w:pStyle w:val="Compact"/>
              <w:jc w:val="left"/>
            </w:pPr>
            <w:r>
              <w:rPr>
                <w:bCs/>
                <w:b/>
              </w:rPr>
              <w:t xml:space="preserve">Có (Nhóm VI FIP)</w:t>
            </w:r>
          </w:p>
        </w:tc>
      </w:tr>
    </w:tbl>
    <w:p>
      <w:pPr>
        <w:pStyle w:val="BodyText"/>
      </w:pPr>
      <w:r>
        <w:rPr>
          <w:iCs/>
          <w:i/>
        </w:rPr>
        <w:t xml:space="preserve">Ghi chú:</w:t>
      </w:r>
      <w:r>
        <w:rPr>
          <w:iCs/>
          <w:i/>
        </w:rPr>
        <w:t xml:space="preserve"> </w:t>
      </w:r>
      <w:r>
        <w:rPr>
          <w:iCs/>
          <w:i/>
        </w:rPr>
        <w:t xml:space="preserve">“</w:t>
      </w:r>
      <w:r>
        <w:rPr>
          <w:iCs/>
          <w:i/>
        </w:rPr>
        <w:t xml:space="preserve">Có</w:t>
      </w:r>
      <w:r>
        <w:rPr>
          <w:iCs/>
          <w:i/>
        </w:rPr>
        <w:t xml:space="preserve">”</w:t>
      </w:r>
      <w:r>
        <w:rPr>
          <w:iCs/>
          <w:i/>
        </w:rPr>
        <w:t xml:space="preserve"> </w:t>
      </w:r>
      <w:r>
        <w:rPr>
          <w:iCs/>
          <w:i/>
        </w:rPr>
        <w:t xml:space="preserve">= kiểm định chính thức hoặc đóng góp lý thuyết rõ ràng; Một phần = đề cập nhưng không phải trọng tâm; Không = không bao gồm; – = không áp dụng. FIP = Forced Internationalization Penalty. TCI và DAI được phân tách theo tiêu chí CDCM; P2 JFAR không kiểm định CDCM (pre-framework) nhưng cung cấp bằng chứng phi tuyến cubic tiền thân.</w:t>
      </w:r>
    </w:p>
    <w:bookmarkEnd w:id="34"/>
    <w:bookmarkStart w:id="35" w:name="Xc1ee8ae98659a4ba0165f9ba23dbc70e097d79e"/>
    <w:p>
      <w:pPr>
        <w:pStyle w:val="Heading5"/>
      </w:pPr>
      <w:r>
        <w:t xml:space="preserve">Bằng chứng châu Á từ ba bản thảo đồng hành</w:t>
      </w:r>
    </w:p>
    <w:p>
      <w:pPr>
        <w:pStyle w:val="FirstParagraph"/>
      </w:pPr>
      <w:r>
        <w:t xml:space="preserve">P3 Việt Nam (Đỗ &amp; Phan, 2026a, mục tiêu JED): Phân tích 2.958 doanh nghiệp WBES ba sóng (2009, 2015, 2023) xác nhận chữ U ngược trong cả ba sóng với kiểm định Lind–Mehlum p &lt; 0,001 (tổng hợp). Điểm uốn: 46,2% (2009), 39,3% (2015), 41,6% (2023), 39,7% (tổng hợp). P3 phân tách H1 thành hai mệnh đề: bước nhảy từ không xuất khẩu sang xuất khẩu là biên năng suất chính (nhất quán với mô hình chọn lọc năng suất xuất khẩu của Melitz, 2003); trong mẫu chỉ gồm doanh nghiệp xuất khẩu, đường cong gần phẳng. TCI (b8+e6) dương bền vững (β = 0,179 tổng hợp, p &lt; 0,001); biến công cụ cho TCI nhân quả (β = 1,639, F bậc một = 22,1). DAI phụ thuộc giai đoạn, dương năm 2009 (β = 0,175), null năm 2015, có tương tác âm năm 2023 (FSTS_c×DAI_z = −0,912, p = 0,043); biến công cụ cho DAI null (β = 0,018, p = 0,942, F bậc một = 34,6), phụ thuộc chọn lựa, không nhân quả.</w:t>
      </w:r>
    </w:p>
    <w:p>
      <w:pPr>
        <w:pStyle w:val="BodyText"/>
      </w:pPr>
      <w:r>
        <w:rPr>
          <w:iCs/>
          <w:i/>
        </w:rPr>
        <w:t xml:space="preserve">Lưu ý về thiết lập mô hình P3: P3 Vietnam sử dụng chuỗi M0–M8 riêng, trong đó M8 là mô hình đầy đủ:</w:t>
      </w:r>
      <w:r>
        <w:rPr>
          <w:iCs/>
          <w:i/>
        </w:rPr>
        <w:t xml:space="preserve"> </w:t>
      </w:r>
      <m:oMath>
        <m:r>
          <m:rPr>
            <m:sty m:val="p"/>
          </m:rPr>
          <m:t>ln</m:t>
        </m:r>
        <m:sSub>
          <m:e>
            <m:d>
              <m:dPr>
                <m:begChr m:val="("/>
                <m:endChr m:val=")"/>
                <m:sepChr m:val=""/>
                <m:grow/>
              </m:dPr>
              <m:e>
                <m:r>
                  <m:rPr>
                    <m:sty m:val="p"/>
                  </m:rPr>
                  <m:t>L</m:t>
                </m:r>
                <m:r>
                  <m:rPr>
                    <m:sty m:val="p"/>
                  </m:rPr>
                  <m:t>P</m:t>
                </m:r>
              </m:e>
            </m:d>
          </m:e>
          <m:sub>
            <m:r>
              <m:t>i</m:t>
            </m:r>
            <m:r>
              <m:t>t</m:t>
            </m:r>
          </m:sub>
        </m:sSub>
        <m:r>
          <m:rPr>
            <m:sty m:val="p"/>
          </m:rPr>
          <m:t>=</m:t>
        </m:r>
        <m:r>
          <m:t>α</m:t>
        </m:r>
        <m:r>
          <m:rPr>
            <m:sty m:val="p"/>
          </m:rPr>
          <m:t>+</m:t>
        </m:r>
        <m:sSub>
          <m:e>
            <m:r>
              <m:t>β</m:t>
            </m:r>
          </m:e>
          <m:sub>
            <m:r>
              <m:t>1</m:t>
            </m:r>
          </m:sub>
        </m:sSub>
        <m:sSub>
          <m:e>
            <m:r>
              <m:rPr>
                <m:sty m:val="p"/>
              </m:rPr>
              <m:t>F</m:t>
            </m:r>
            <m:r>
              <m:rPr>
                <m:sty m:val="p"/>
              </m:rPr>
              <m:t>S</m:t>
            </m:r>
            <m:r>
              <m:rPr>
                <m:sty m:val="p"/>
              </m:rPr>
              <m:t>T</m:t>
            </m:r>
            <m:r>
              <m:rPr>
                <m:sty m:val="p"/>
              </m:rPr>
              <m:t>S</m:t>
            </m:r>
          </m:e>
          <m:sub>
            <m:r>
              <m:t>c</m:t>
            </m:r>
          </m:sub>
        </m:sSub>
        <m:r>
          <m:rPr>
            <m:sty m:val="p"/>
          </m:rPr>
          <m:t>+</m:t>
        </m:r>
        <m:sSub>
          <m:e>
            <m:r>
              <m:t>β</m:t>
            </m:r>
          </m:e>
          <m:sub>
            <m:r>
              <m:t>2</m:t>
            </m:r>
          </m:sub>
        </m:sSub>
        <m:sSubSup>
          <m:e>
            <m:r>
              <m:rPr>
                <m:sty m:val="p"/>
              </m:rPr>
              <m:t>F</m:t>
            </m:r>
            <m:r>
              <m:rPr>
                <m:sty m:val="p"/>
              </m:rPr>
              <m:t>S</m:t>
            </m:r>
            <m:r>
              <m:rPr>
                <m:sty m:val="p"/>
              </m:rPr>
              <m:t>T</m:t>
            </m:r>
            <m:r>
              <m:rPr>
                <m:sty m:val="p"/>
              </m:rPr>
              <m:t>S</m:t>
            </m:r>
          </m:e>
          <m:sub>
            <m:r>
              <m:t>c</m:t>
            </m:r>
          </m:sub>
          <m:sup>
            <m:r>
              <m:t>2</m:t>
            </m:r>
          </m:sup>
        </m:sSubSup>
        <m:r>
          <m:rPr>
            <m:sty m:val="p"/>
          </m:rPr>
          <m:t>+</m:t>
        </m:r>
        <m:sSub>
          <m:e>
            <m:r>
              <m:t>β</m:t>
            </m:r>
          </m:e>
          <m:sub>
            <m:r>
              <m:t>3</m:t>
            </m:r>
          </m:sub>
        </m:sSub>
        <m:sSub>
          <m:e>
            <m:r>
              <m:rPr>
                <m:sty m:val="p"/>
              </m:rPr>
              <m:t>T</m:t>
            </m:r>
            <m:r>
              <m:rPr>
                <m:sty m:val="p"/>
              </m:rPr>
              <m:t>C</m:t>
            </m:r>
            <m:r>
              <m:rPr>
                <m:sty m:val="p"/>
              </m:rPr>
              <m:t>I</m:t>
            </m:r>
          </m:e>
          <m:sub>
            <m:r>
              <m:t>z</m:t>
            </m:r>
          </m:sub>
        </m:sSub>
        <m:r>
          <m:rPr>
            <m:sty m:val="p"/>
          </m:rPr>
          <m:t>+</m:t>
        </m:r>
        <m:sSub>
          <m:e>
            <m:r>
              <m:t>β</m:t>
            </m:r>
          </m:e>
          <m:sub>
            <m:r>
              <m:t>4</m:t>
            </m:r>
          </m:sub>
        </m:sSub>
        <m:sSub>
          <m:e>
            <m:r>
              <m:rPr>
                <m:sty m:val="p"/>
              </m:rPr>
              <m:t>D</m:t>
            </m:r>
            <m:r>
              <m:rPr>
                <m:sty m:val="p"/>
              </m:rPr>
              <m:t>A</m:t>
            </m:r>
            <m:r>
              <m:rPr>
                <m:sty m:val="p"/>
              </m:rPr>
              <m:t>I</m:t>
            </m:r>
          </m:e>
          <m:sub>
            <m:r>
              <m:t>z</m:t>
            </m:r>
          </m:sub>
        </m:sSub>
        <m:r>
          <m:rPr>
            <m:sty m:val="p"/>
          </m:rPr>
          <m:t>+</m:t>
        </m:r>
        <m:sSub>
          <m:e>
            <m:r>
              <m:t>β</m:t>
            </m:r>
          </m:e>
          <m:sub>
            <m:r>
              <m:t>5</m:t>
            </m:r>
          </m:sub>
        </m:sSub>
        <m:d>
          <m:dPr>
            <m:begChr m:val="("/>
            <m:endChr m:val=")"/>
            <m:sepChr m:val=""/>
            <m:grow/>
          </m:dPr>
          <m:e>
            <m:sSub>
              <m:e>
                <m:r>
                  <m:rPr>
                    <m:sty m:val="p"/>
                  </m:rPr>
                  <m:t>F</m:t>
                </m:r>
                <m:r>
                  <m:rPr>
                    <m:sty m:val="p"/>
                  </m:rPr>
                  <m:t>S</m:t>
                </m:r>
                <m:r>
                  <m:rPr>
                    <m:sty m:val="p"/>
                  </m:rPr>
                  <m:t>T</m:t>
                </m:r>
                <m:r>
                  <m:rPr>
                    <m:sty m:val="p"/>
                  </m:rPr>
                  <m:t>S</m:t>
                </m:r>
              </m:e>
              <m:sub>
                <m:r>
                  <m:t>c</m:t>
                </m:r>
              </m:sub>
            </m:sSub>
            <m:r>
              <m:rPr>
                <m:sty m:val="p"/>
              </m:rPr>
              <m:t>×</m:t>
            </m:r>
            <m:sSub>
              <m:e>
                <m:r>
                  <m:rPr>
                    <m:sty m:val="p"/>
                  </m:rPr>
                  <m:t>D</m:t>
                </m:r>
                <m:r>
                  <m:rPr>
                    <m:sty m:val="p"/>
                  </m:rPr>
                  <m:t>A</m:t>
                </m:r>
                <m:r>
                  <m:rPr>
                    <m:sty m:val="p"/>
                  </m:rPr>
                  <m:t>I</m:t>
                </m:r>
              </m:e>
              <m:sub>
                <m:r>
                  <m:t>z</m:t>
                </m:r>
              </m:sub>
            </m:sSub>
          </m:e>
        </m:d>
        <m:r>
          <m:rPr>
            <m:sty m:val="p"/>
          </m:rPr>
          <m:t>+</m:t>
        </m:r>
        <m:sSub>
          <m:e>
            <m:r>
              <m:t>β</m:t>
            </m:r>
          </m:e>
          <m:sub>
            <m:r>
              <m:t>6</m:t>
            </m:r>
          </m:sub>
        </m:sSub>
        <m:d>
          <m:dPr>
            <m:begChr m:val="("/>
            <m:endChr m:val=")"/>
            <m:sepChr m:val=""/>
            <m:grow/>
          </m:dPr>
          <m:e>
            <m:sSubSup>
              <m:e>
                <m:r>
                  <m:rPr>
                    <m:sty m:val="p"/>
                  </m:rPr>
                  <m:t>F</m:t>
                </m:r>
                <m:r>
                  <m:rPr>
                    <m:sty m:val="p"/>
                  </m:rPr>
                  <m:t>S</m:t>
                </m:r>
                <m:r>
                  <m:rPr>
                    <m:sty m:val="p"/>
                  </m:rPr>
                  <m:t>T</m:t>
                </m:r>
                <m:r>
                  <m:rPr>
                    <m:sty m:val="p"/>
                  </m:rPr>
                  <m:t>S</m:t>
                </m:r>
              </m:e>
              <m:sub>
                <m:r>
                  <m:t>c</m:t>
                </m:r>
              </m:sub>
              <m:sup>
                <m:r>
                  <m:t>2</m:t>
                </m:r>
              </m:sup>
            </m:sSubSup>
            <m:r>
              <m:rPr>
                <m:sty m:val="p"/>
              </m:rPr>
              <m:t>×</m:t>
            </m:r>
            <m:sSub>
              <m:e>
                <m:r>
                  <m:rPr>
                    <m:sty m:val="p"/>
                  </m:rPr>
                  <m:t>D</m:t>
                </m:r>
                <m:r>
                  <m:rPr>
                    <m:sty m:val="p"/>
                  </m:rPr>
                  <m:t>A</m:t>
                </m:r>
                <m:r>
                  <m:rPr>
                    <m:sty m:val="p"/>
                  </m:rPr>
                  <m:t>I</m:t>
                </m:r>
              </m:e>
              <m:sub>
                <m:r>
                  <m:t>z</m:t>
                </m:r>
              </m:sub>
            </m:sSub>
          </m:e>
        </m:d>
        <m:r>
          <m:rPr>
            <m:sty m:val="p"/>
          </m:rPr>
          <m:t>+</m:t>
        </m:r>
        <m:r>
          <m:rPr>
            <m:sty m:val="b"/>
          </m:rPr>
          <m:t>γ</m:t>
        </m:r>
        <m:r>
          <m:rPr>
            <m:sty m:val="b"/>
          </m:rPr>
          <m:t>X</m:t>
        </m:r>
        <m:r>
          <m:rPr>
            <m:sty m:val="p"/>
          </m:rPr>
          <m:t>+</m:t>
        </m:r>
        <m:sSub>
          <m:e>
            <m:r>
              <m:t>δ</m:t>
            </m:r>
          </m:e>
          <m:sub>
            <m:r>
              <m:t>s</m:t>
            </m:r>
          </m:sub>
        </m:sSub>
        <m:r>
          <m:rPr>
            <m:sty m:val="p"/>
          </m:rPr>
          <m:t>+</m:t>
        </m:r>
        <m:d>
          <m:dPr>
            <m:begChr m:val="["/>
            <m:endChr m:val="]"/>
            <m:sepChr m:val=""/>
            <m:grow/>
          </m:dPr>
          <m:e>
            <m:sSub>
              <m:e>
                <m:r>
                  <m:t>λ</m:t>
                </m:r>
              </m:e>
              <m:sub>
                <m:r>
                  <m:t>t</m:t>
                </m:r>
              </m:sub>
            </m:sSub>
          </m:e>
        </m:d>
        <m:r>
          <m:rPr>
            <m:sty m:val="p"/>
          </m:rPr>
          <m:t>+</m:t>
        </m:r>
        <m:sSub>
          <m:e>
            <m:r>
              <m:t>ε</m:t>
            </m:r>
          </m:e>
          <m:sub>
            <m:r>
              <m:t>i</m:t>
            </m:r>
            <m:r>
              <m:t>t</m:t>
            </m:r>
          </m:sub>
        </m:sSub>
      </m:oMath>
      <w:r>
        <w:rPr>
          <w:iCs/>
          <w:i/>
        </w:rPr>
        <w:t xml:space="preserve">. Mô hình đầy đủ M0–M8 và bảng định nghĩa biến được trình bày trong bản thảo P3 (Mục 3.2–Mục 3.3) và luận án (Mục 4.5.1). Chuỗi M0–M7 trong Chuyên đề 2 là các mô hình cấp độ mẫu gộp 50 nền kinh tế, khác với mô hình cấp độ quốc gia của P3.</w:t>
      </w:r>
    </w:p>
    <w:p>
      <w:pPr>
        <w:pStyle w:val="BodyText"/>
      </w:pPr>
      <w:r>
        <w:t xml:space="preserve">P4 Singapore (Mar, Đỗ &amp; Phan, 2026, mục tiêu MIR): Phân tích 623 doanh nghiệp WBES 2023. Trong nền kinh tế số bão hòa, đường cong quốc tế hóa và hiệu quả chủ yếu dương, điểm uốn hàm ý ở FSTS khoảng 88,6% (vùng thưa dữ liệu; kiểm định Lind–Mehlum p = 0,303). DAI×FSTS² = +3,119 (p = 0,005), DAI là nguồn lực mở rộng tình huống, chỉ phát huy ở FSTS cao nơi nhu cầu điều phối xuyên biên giới dày đặc. TCI dương trực tiếp (β = 0,153).</w:t>
      </w:r>
    </w:p>
    <w:p>
      <w:pPr>
        <w:pStyle w:val="BodyText"/>
      </w:pPr>
      <w:r>
        <w:t xml:space="preserve">P5 Trung Quốc (Đỗ &amp; Phan, 2026b, mục tiêu IJOEM): Phân tích 4.544 doanh nghiệp WBES hai sóng (2012, 2024). Chữ U ngược bền vững cấu trúc, điểm uốn 49,4% (2012), 47,2% (2024), kiểm định Paternoster cho hệ số FSTS² không có sự khác biệt đáng kể (p = 0,545). TCI tăng cường theo thời gian (+0,260 sang +0,426, Paternoster p = 0,011).</w:t>
      </w:r>
    </w:p>
    <w:p>
      <w:pPr>
        <w:pStyle w:val="BodyText"/>
      </w:pPr>
      <w:r>
        <w:t xml:space="preserve">Bảng 2.3. So sánh bằng chứng bốn bản thảo đồng hành.</w:t>
      </w:r>
    </w:p>
    <w:tbl>
      <w:tblPr>
        <w:tblStyle w:val="Table"/>
        <w:tblW w:type="pct" w:w="5000"/>
        <w:tblLook w:firstRow="1" w:lastRow="0" w:firstColumn="0" w:lastColumn="0" w:noHBand="0" w:noVBand="0" w:val="0020"/>
        <w:jc w:val="start"/>
      </w:tblPr>
      <w:tblGrid>
        <w:gridCol w:w="513"/>
        <w:gridCol w:w="2273"/>
        <w:gridCol w:w="1613"/>
        <w:gridCol w:w="1613"/>
        <w:gridCol w:w="1906"/>
      </w:tblGrid>
      <w:tr>
        <w:trPr>
          <w:tblHeader w:val="true"/>
        </w:trPr>
        <w:tc>
          <w:tcPr/>
          <w:p>
            <w:pPr>
              <w:pStyle w:val="Compact"/>
              <w:jc w:val="left"/>
            </w:pPr>
            <w:r>
              <w:t xml:space="preserve">Chiều</w:t>
            </w:r>
          </w:p>
        </w:tc>
        <w:tc>
          <w:tcPr/>
          <w:p>
            <w:pPr>
              <w:pStyle w:val="Compact"/>
              <w:jc w:val="left"/>
            </w:pPr>
            <w:r>
              <w:t xml:space="preserve">P2 Trung Quốc SMEs (Nhóm III)</w:t>
            </w:r>
          </w:p>
        </w:tc>
        <w:tc>
          <w:tcPr/>
          <w:p>
            <w:pPr>
              <w:pStyle w:val="Compact"/>
              <w:jc w:val="left"/>
            </w:pPr>
            <w:r>
              <w:t xml:space="preserve">P3 Việt Nam (Nhóm IV)</w:t>
            </w:r>
          </w:p>
        </w:tc>
        <w:tc>
          <w:tcPr/>
          <w:p>
            <w:pPr>
              <w:pStyle w:val="Compact"/>
              <w:jc w:val="left"/>
            </w:pPr>
            <w:r>
              <w:t xml:space="preserve">P4 Singapore (Nhóm I)</w:t>
            </w:r>
          </w:p>
        </w:tc>
        <w:tc>
          <w:tcPr/>
          <w:p>
            <w:pPr>
              <w:pStyle w:val="Compact"/>
              <w:jc w:val="left"/>
            </w:pPr>
            <w:r>
              <w:t xml:space="preserve">P5 Trung Quốc (Nhóm III)</w:t>
            </w:r>
          </w:p>
        </w:tc>
      </w:tr>
      <w:tr>
        <w:tc>
          <w:tcPr/>
          <w:p>
            <w:pPr>
              <w:pStyle w:val="Compact"/>
              <w:jc w:val="left"/>
            </w:pPr>
            <w:r>
              <w:t xml:space="preserve">Journal</w:t>
            </w:r>
          </w:p>
        </w:tc>
        <w:tc>
          <w:tcPr/>
          <w:p>
            <w:pPr>
              <w:pStyle w:val="Compact"/>
              <w:jc w:val="left"/>
            </w:pPr>
            <w:r>
              <w:t xml:space="preserve">JFAR (đã công bố 2026)</w:t>
            </w:r>
          </w:p>
        </w:tc>
        <w:tc>
          <w:tcPr/>
          <w:p>
            <w:pPr>
              <w:pStyle w:val="Compact"/>
              <w:jc w:val="left"/>
            </w:pPr>
            <w:r>
              <w:t xml:space="preserve">JED (mục tiêu)</w:t>
            </w:r>
          </w:p>
        </w:tc>
        <w:tc>
          <w:tcPr/>
          <w:p>
            <w:pPr>
              <w:pStyle w:val="Compact"/>
              <w:jc w:val="left"/>
            </w:pPr>
            <w:r>
              <w:t xml:space="preserve">MIR (mục tiêu)</w:t>
            </w:r>
          </w:p>
        </w:tc>
        <w:tc>
          <w:tcPr/>
          <w:p>
            <w:pPr>
              <w:pStyle w:val="Compact"/>
              <w:jc w:val="left"/>
            </w:pPr>
            <w:r>
              <w:t xml:space="preserve">IJOEM (mục tiêu)</w:t>
            </w:r>
          </w:p>
        </w:tc>
      </w:tr>
      <w:tr>
        <w:tc>
          <w:tcPr/>
          <w:p>
            <w:pPr>
              <w:pStyle w:val="Compact"/>
              <w:jc w:val="left"/>
            </w:pPr>
            <w:r>
              <w:t xml:space="preserve">Dạng I–P</w:t>
            </w:r>
          </w:p>
        </w:tc>
        <w:tc>
          <w:tcPr/>
          <w:p>
            <w:pPr>
              <w:pStyle w:val="Compact"/>
              <w:jc w:val="left"/>
            </w:pPr>
            <w:r>
              <w:rPr>
                <w:bCs/>
                <w:b/>
              </w:rPr>
              <w:t xml:space="preserve">Chữ U ngược bậc hai</w:t>
            </w:r>
            <w:r>
              <w:t xml:space="preserve"> </w:t>
            </w:r>
            <w:r>
              <w:t xml:space="preserve">(điểm uốn 47,8%)</w:t>
            </w:r>
          </w:p>
        </w:tc>
        <w:tc>
          <w:tcPr/>
          <w:p>
            <w:pPr>
              <w:pStyle w:val="Compact"/>
              <w:jc w:val="left"/>
            </w:pPr>
            <w:r>
              <w:t xml:space="preserve">Chữ U ngược xác nhận</w:t>
            </w:r>
          </w:p>
        </w:tc>
        <w:tc>
          <w:tcPr/>
          <w:p>
            <w:pPr>
              <w:pStyle w:val="Compact"/>
              <w:jc w:val="left"/>
            </w:pPr>
            <w:r>
              <w:t xml:space="preserve">Chủ yếu dương, TP ~88,6%</w:t>
            </w:r>
          </w:p>
        </w:tc>
        <w:tc>
          <w:tcPr/>
          <w:p>
            <w:pPr>
              <w:pStyle w:val="Compact"/>
              <w:jc w:val="left"/>
            </w:pPr>
            <w:r>
              <w:t xml:space="preserve">Chữ U ngược bền vững</w:t>
            </w:r>
          </w:p>
        </w:tc>
      </w:tr>
      <w:tr>
        <w:tc>
          <w:tcPr/>
          <w:p>
            <w:pPr>
              <w:pStyle w:val="Compact"/>
              <w:jc w:val="left"/>
            </w:pPr>
            <w:r>
              <w:t xml:space="preserve">Điểm uốn</w:t>
            </w:r>
          </w:p>
        </w:tc>
        <w:tc>
          <w:tcPr/>
          <w:p>
            <w:pPr>
              <w:pStyle w:val="Compact"/>
              <w:jc w:val="left"/>
            </w:pPr>
            <w:r>
              <w:t xml:space="preserve">47,8% FSTS</w:t>
            </w:r>
          </w:p>
        </w:tc>
        <w:tc>
          <w:tcPr/>
          <w:p>
            <w:pPr>
              <w:pStyle w:val="Compact"/>
              <w:jc w:val="left"/>
            </w:pPr>
            <w:r>
              <w:t xml:space="preserve">39–46% FSTS</w:t>
            </w:r>
          </w:p>
        </w:tc>
        <w:tc>
          <w:tcPr/>
          <w:p>
            <w:pPr>
              <w:pStyle w:val="Compact"/>
              <w:jc w:val="left"/>
            </w:pPr>
            <w:r>
              <w:t xml:space="preserve">~88,6% (thưa dữ liệu)</w:t>
            </w:r>
          </w:p>
        </w:tc>
        <w:tc>
          <w:tcPr/>
          <w:p>
            <w:pPr>
              <w:pStyle w:val="Compact"/>
              <w:jc w:val="left"/>
            </w:pPr>
            <w:r>
              <w:t xml:space="preserve">47–49% FSTS</w:t>
            </w:r>
          </w:p>
        </w:tc>
      </w:tr>
      <w:tr>
        <w:tc>
          <w:tcPr/>
          <w:p>
            <w:pPr>
              <w:pStyle w:val="Compact"/>
              <w:jc w:val="left"/>
            </w:pPr>
            <w:r>
              <w:t xml:space="preserve">TCI</w:t>
            </w:r>
          </w:p>
        </w:tc>
        <w:tc>
          <w:tcPr/>
          <w:p>
            <w:pPr>
              <w:pStyle w:val="Compact"/>
              <w:jc w:val="left"/>
            </w:pPr>
            <w:r>
              <w:t xml:space="preserve">Dương; RBV xác nhận</w:t>
            </w:r>
          </w:p>
        </w:tc>
        <w:tc>
          <w:tcPr/>
          <w:p>
            <w:pPr>
              <w:pStyle w:val="Compact"/>
              <w:jc w:val="left"/>
            </w:pPr>
            <w:r>
              <w:t xml:space="preserve">Dương bền vững, nhân quả (IV)</w:t>
            </w:r>
          </w:p>
        </w:tc>
        <w:tc>
          <w:tcPr/>
          <w:p>
            <w:pPr>
              <w:pStyle w:val="Compact"/>
              <w:jc w:val="left"/>
            </w:pPr>
            <w:r>
              <w:t xml:space="preserve">Dương trực tiếp</w:t>
            </w:r>
          </w:p>
        </w:tc>
        <w:tc>
          <w:tcPr/>
          <w:p>
            <w:pPr>
              <w:pStyle w:val="Compact"/>
              <w:jc w:val="left"/>
            </w:pPr>
            <w:r>
              <w:t xml:space="preserve">Dương, tăng theo thời gian</w:t>
            </w:r>
          </w:p>
        </w:tc>
      </w:tr>
      <w:tr>
        <w:tc>
          <w:tcPr/>
          <w:p>
            <w:pPr>
              <w:pStyle w:val="Compact"/>
              <w:jc w:val="left"/>
            </w:pPr>
            <w:r>
              <w:t xml:space="preserve">DAI</w:t>
            </w:r>
          </w:p>
        </w:tc>
        <w:tc>
          <w:tcPr/>
          <w:p>
            <w:pPr>
              <w:pStyle w:val="Compact"/>
              <w:jc w:val="left"/>
            </w:pPr>
            <w:r>
              <w:t xml:space="preserve">Không kiểm định (pre-CDCM)</w:t>
            </w:r>
          </w:p>
        </w:tc>
        <w:tc>
          <w:tcPr/>
          <w:p>
            <w:pPr>
              <w:pStyle w:val="Compact"/>
              <w:jc w:val="left"/>
            </w:pPr>
            <w:r>
              <w:t xml:space="preserve">Phụ thuộc giai đoạn; IV null</w:t>
            </w:r>
          </w:p>
        </w:tc>
        <w:tc>
          <w:tcPr/>
          <w:p>
            <w:pPr>
              <w:pStyle w:val="Compact"/>
              <w:jc w:val="left"/>
            </w:pPr>
            <w:r>
              <w:t xml:space="preserve">Mở rộng tình huống (+3,119)</w:t>
            </w:r>
          </w:p>
        </w:tc>
        <w:tc>
          <w:tcPr/>
          <w:p>
            <w:pPr>
              <w:pStyle w:val="Compact"/>
              <w:jc w:val="left"/>
            </w:pPr>
            <w:r>
              <w:t xml:space="preserve">Kiểm soát (Bậc 1 bão hòa)</w:t>
            </w:r>
          </w:p>
        </w:tc>
      </w:tr>
      <w:tr>
        <w:tc>
          <w:tcPr/>
          <w:p>
            <w:pPr>
              <w:pStyle w:val="Compact"/>
              <w:jc w:val="left"/>
            </w:pPr>
            <w:r>
              <w:t xml:space="preserve">Temporal</w:t>
            </w:r>
          </w:p>
        </w:tc>
        <w:tc>
          <w:tcPr/>
          <w:p>
            <w:pPr>
              <w:pStyle w:val="Compact"/>
              <w:jc w:val="left"/>
            </w:pPr>
            <w:r>
              <w:t xml:space="preserve">Cắt ngang (không temporal)</w:t>
            </w:r>
          </w:p>
        </w:tc>
        <w:tc>
          <w:tcPr/>
          <w:p>
            <w:pPr>
              <w:pStyle w:val="Compact"/>
              <w:jc w:val="left"/>
            </w:pPr>
            <w:r>
              <w:t xml:space="preserve">Paternoster p &lt; 0,001 (dịch chuyển)</w:t>
            </w:r>
          </w:p>
        </w:tc>
        <w:tc>
          <w:tcPr/>
          <w:p>
            <w:pPr>
              <w:pStyle w:val="Compact"/>
              <w:jc w:val="left"/>
            </w:pPr>
            <w:r>
              <w:t xml:space="preserve">Cắt ngang 2023</w:t>
            </w:r>
          </w:p>
        </w:tc>
        <w:tc>
          <w:tcPr/>
          <w:p>
            <w:pPr>
              <w:pStyle w:val="Compact"/>
              <w:jc w:val="left"/>
            </w:pPr>
            <w:r>
              <w:t xml:space="preserve">Paternoster p = 0,545 (ổn định)</w:t>
            </w:r>
          </w:p>
        </w:tc>
      </w:tr>
      <w:tr>
        <w:tc>
          <w:tcPr/>
          <w:p>
            <w:pPr>
              <w:pStyle w:val="Compact"/>
              <w:jc w:val="left"/>
            </w:pPr>
            <w:r>
              <w:t xml:space="preserve">Mô hình CDCM</w:t>
            </w:r>
          </w:p>
        </w:tc>
        <w:tc>
          <w:tcPr/>
          <w:p>
            <w:pPr>
              <w:pStyle w:val="Compact"/>
              <w:jc w:val="left"/>
            </w:pPr>
            <w:r>
              <w:t xml:space="preserve">Tiền thân (chưa tách TCI/DAI)</w:t>
            </w:r>
          </w:p>
        </w:tc>
        <w:tc>
          <w:tcPr/>
          <w:p>
            <w:pPr>
              <w:pStyle w:val="Compact"/>
              <w:jc w:val="left"/>
            </w:pPr>
            <w:r>
              <w:t xml:space="preserve">Nhóm IV, trung gian</w:t>
            </w:r>
          </w:p>
        </w:tc>
        <w:tc>
          <w:tcPr/>
          <w:p>
            <w:pPr>
              <w:pStyle w:val="Compact"/>
              <w:jc w:val="left"/>
            </w:pPr>
            <w:r>
              <w:t xml:space="preserve">Nhóm I, bão hòa số</w:t>
            </w:r>
          </w:p>
        </w:tc>
        <w:tc>
          <w:tcPr/>
          <w:p>
            <w:pPr>
              <w:pStyle w:val="Compact"/>
              <w:jc w:val="left"/>
            </w:pPr>
            <w:r>
              <w:t xml:space="preserve">Nhóm III, đang trưởng thành</w:t>
            </w:r>
          </w:p>
        </w:tc>
      </w:tr>
    </w:tbl>
    <w:p>
      <w:pPr>
        <w:pStyle w:val="BodyText"/>
      </w:pPr>
      <w:r>
        <w:rPr>
          <w:iCs/>
          <w:i/>
        </w:rPr>
        <w:t xml:space="preserve">Ghi chú: P2 (Đỗ &amp; Phan, 2026c, JFAR) là bản thảo tiền thân đã công bố, tìm thấy quan hệ chữ U ngược bậc hai (điểm uốn 47,8% FSTS, mẫu 4.290 quan sát doanh nghiệp–năm) trong nhóm doanh nghiệp nhỏ và vừa Trung Quốc, là bằng chứng nền tảng cho dạng phi tuyến trong H1. P2 không kiểm định CDCM, được đưa vào đây để làm rõ sự tiến hóa phương pháp từ P2 sang P5.</w:t>
      </w:r>
    </w:p>
    <w:p>
      <w:pPr>
        <w:pStyle w:val="BodyText"/>
      </w:pPr>
      <w:r>
        <w:t xml:space="preserve">Bốn bản thảo cùng xác nhận ba dự đoán cốt lõi của CDCM: TCI là nhân quả và bền vững qua ba nền kinh tế khác nhau; DAI là phụ thuộc ngữ cảnh, không đồng nhất; chữ U ngược bậc hai là dạng hàm phổ biến nhất cho doanh nghiệp vừa và nhỏ châu Á với điểm uốn phụ thuộc vào ICRV.</w:t>
      </w:r>
    </w:p>
    <w:bookmarkEnd w:id="35"/>
    <w:bookmarkEnd w:id="36"/>
    <w:bookmarkStart w:id="43" w:name="khung-lý-thuyết-tích-hợp-4-tầng"/>
    <w:p>
      <w:pPr>
        <w:pStyle w:val="Heading4"/>
      </w:pPr>
      <w:r>
        <w:t xml:space="preserve">2.3.2 Khung lý thuyết tích hợp 4 tầng</w:t>
      </w:r>
    </w:p>
    <w:bookmarkStart w:id="37" w:name="tầng-1-lý-thuyết-quốc-tế-hóa-uppsala"/>
    <w:p>
      <w:pPr>
        <w:pStyle w:val="Heading5"/>
      </w:pPr>
      <w:r>
        <w:t xml:space="preserve">Tầng 1: Lý thuyết quốc tế hóa Uppsala</w:t>
      </w:r>
    </w:p>
    <w:p>
      <w:pPr>
        <w:pStyle w:val="FirstParagraph"/>
      </w:pPr>
      <w:r>
        <w:t xml:space="preserve">Mô hình Uppsala (Johanson &amp; Vahlne, 1977) đề xuất quá trình quốc tế hóa của doanh nghiệp diễn ra tăng dần thông qua tích lũy kinh nghiệm và giảm dần khoảng cách tâm lý giữa thị trường nội địa và thị trường nước ngoài. Doanh nghiệp khởi đầu xuất khẩu sang các thị trường gần về văn hóa, ngôn ngữ, thể chế trước khi mở rộng sang các thị trường xa hơn. Mô hình ban đầu (1977) tập trung vào ba cơ chế: cam kết thị trường, tri thức thị trường, và quyết định cam kết hiện tại.</w:t>
      </w:r>
    </w:p>
    <w:p>
      <w:pPr>
        <w:pStyle w:val="BodyText"/>
      </w:pPr>
      <w:r>
        <w:t xml:space="preserve">Johanson và Vahlne (2009) tái định vị mô hình từ gánh nặng do là người nước ngoài sang gánh nặng do không thuộc mạng lưới. Phiên bản này nhấn mạnh vai trò mạng lưới quan hệ kinh doanh trong quá trình quốc tế hóa.</w:t>
      </w:r>
    </w:p>
    <w:p>
      <w:pPr>
        <w:pStyle w:val="BodyText"/>
      </w:pPr>
      <w:r>
        <w:t xml:space="preserve">Mô hình Uppsala chậm áp dụng cho ba hiện tượng: doanh nghiệp quốc tế hóa ngay từ khi thành lập (Knight &amp; Cavusgil, 2004); doanh nghiệp đa quốc gia từ thị trường mới nổi với quy trình quốc tế hóa khác biệt (Mathews, 2002; Luo &amp; Tung, 2007); và bối cảnh số nơi Internet và nền tảng số giảm khoảng cách tâm lý đến mức tối thiểu (Banalieva &amp; Dhanaraj, 2019; Stallkamp &amp; Schotter, 2021).</w:t>
      </w:r>
    </w:p>
    <w:p>
      <w:pPr>
        <w:pStyle w:val="BodyText"/>
      </w:pPr>
      <w:r>
        <w:t xml:space="preserve">Vai trò trong mô hình đề xuất: Uppsala cung cấp logic cho hiệu ứng phi tuyến trong H1. Doanh nghiệp tăng cường độ xuất khẩu đối mặt với chi phí học tập ban đầu, sau đó thu được lợi ích quy mô, nhưng vượt quá ngưỡng nhất định lại chịu chi phí phối hợp. Bằng chứng P3 Việt Nam (điểm uốn 39–46%) và P5 Trung Quốc (điểm uốn 47–49%) neo đậu thực nghiệm cho H1.</w:t>
      </w:r>
    </w:p>
    <w:bookmarkEnd w:id="37"/>
    <w:bookmarkStart w:id="38" w:name="X2c85e26e6ba3228bf003793c40503d5a193d2b2"/>
    <w:p>
      <w:pPr>
        <w:pStyle w:val="Heading5"/>
      </w:pPr>
      <w:r>
        <w:t xml:space="preserve">Tầng 2: Lý thuyết doanh nghiệp dựa trên nguồn lực (RBV)</w:t>
      </w:r>
    </w:p>
    <w:p>
      <w:pPr>
        <w:pStyle w:val="FirstParagraph"/>
      </w:pPr>
      <w:r>
        <w:t xml:space="preserve">Lý thuyết dựa trên nguồn lực (Wernerfelt, 1984; Barney, 1991) cho rằng lợi thế cạnh tranh bền vững xuất phát từ nguồn lực có giá trị, hiếm, khó bắt chước, và không thay thế (VRIN). Doanh nghiệp khác nhau về hiệu quả vì sở hữu các bộ nguồn lực khác nhau. Các phát triển gần đây mở rộng lý thuyết dựa trên nguồn lực sang lợi thế cạnh tranh bền vững gắn với bối cảnh môi trường, xã hội và quản trị (Bhandari, Ranta &amp; Salo, 2023).</w:t>
      </w:r>
    </w:p>
    <w:p>
      <w:pPr>
        <w:pStyle w:val="BodyText"/>
      </w:pPr>
      <w:r>
        <w:t xml:space="preserve">Teece, Pisano và Shuen (1997) phát triển khái niệm năng lực động, khả năng tích hợp, xây dựng, và tái cấu trúc nguồn lực để thích ứng với môi trường thay đổi. Trong bối cảnh quốc tế hóa, năng lực động đặc biệt quan trọng để hấp thụ tri thức từ thị trường nước ngoài và tái phân bổ nguồn lực qua các thị trường.</w:t>
      </w:r>
    </w:p>
    <w:p>
      <w:pPr>
        <w:pStyle w:val="BodyText"/>
      </w:pPr>
      <w:r>
        <w:t xml:space="preserve">Cohen và Levinthal (1990) đề xuất khái niệm năng lực hấp thụ, khả năng doanh nghiệp nhận diện, đồng hóa, và áp dụng kiến thức bên ngoài. Doanh nghiệp có R&amp;D nội tại cao có năng lực hấp thụ cao và do đó hấp thụ tri thức từ quốc tế hóa hiệu quả hơn.</w:t>
      </w:r>
    </w:p>
    <w:p>
      <w:pPr>
        <w:pStyle w:val="BodyText"/>
      </w:pPr>
      <w:r>
        <w:t xml:space="preserve">Vai trò trong mô hình đề xuất: Lý thuyết dựa trên nguồn lực cung cấp lý thuyết cho H2 (TCI điều tiết tích cực). Doanh nghiệp có năng lực công nghệ (R&amp;D, ISO, máy nhập khẩu) cao hấp thụ lợi ích quốc tế hóa tốt hơn. TCI là biến điều tiết cấp doanh nghiệp. Bằng chứng P3 Việt Nam (TCI trực tiếp β = 0,179, nhân quả từ IV) và P5 Trung Quốc (TCI tăng cường +0,260 sang +0,426) ủng hộ TCI là nguồn lực VRIN bền vững.</w:t>
      </w:r>
    </w:p>
    <w:bookmarkEnd w:id="38"/>
    <w:bookmarkStart w:id="39" w:name="Xec688ca77214a2d5de44d607882fad31cddc4c4"/>
    <w:p>
      <w:pPr>
        <w:pStyle w:val="Heading5"/>
      </w:pPr>
      <w:r>
        <w:t xml:space="preserve">Tầng 3: Lý thuyết thể chế (Institutional Theory)</w:t>
      </w:r>
    </w:p>
    <w:p>
      <w:pPr>
        <w:pStyle w:val="FirstParagraph"/>
      </w:pPr>
      <w:r>
        <w:t xml:space="preserve">North (1990) định nghĩa thể chế là các quy tắc của trò chơi, chính thức (luật pháp, hợp đồng, quyền sở hữu) và phi chính thức (chuẩn mực, văn hóa, mạng lưới), quy định chi phí giao dịch và rủi ro kinh doanh. Kim, Kumar, Ramalho và Russell (2026) bổ sung khung đo lường năng lực thể chế (institutional capacity) theo hai chiều: chiều tổ chức (nhân sự, nguồn lực tài chính, hệ thống thông tin, quản lý) và chiều quản trị (minh bạch, độc lập, trách nhiệm giải trình). Nghiên cứu đa quốc gia này xác nhận mối tương quan dương vững chắc giữa năng lực thể chế và phát triển kinh tế, cung cấp nền tảng thực nghiệm cho phân loại sáu nhóm ICRV theo năng lực và nguồn lực thể chế được sử dụng trong mô hình đề xuất.</w:t>
      </w:r>
    </w:p>
    <w:p>
      <w:pPr>
        <w:pStyle w:val="BodyText"/>
      </w:pPr>
      <w:r>
        <w:t xml:space="preserve">Khanna và Palepu (2010) áp dụng lý thuyết thể chế cho thị trường mới nổi, đề xuất khái niệm khoảng trống thể chế, các thiếu hụt trong hệ thống thể chế (thiếu thị trường vốn phát triển, thiếu hệ thống tư pháp hiệu quả, thiếu chuẩn kế toán minh bạch). Doanh nghiệp ở thị trường mới nổi phải xây dựng giải pháp nội bộ để bù đắp.</w:t>
      </w:r>
    </w:p>
    <w:p>
      <w:pPr>
        <w:pStyle w:val="BodyText"/>
      </w:pPr>
      <w:r>
        <w:t xml:space="preserve">Peng (2003) và Peng, Wang, Jiang (2008) đề xuất cặp chiến lược ba chân, chiến lược doanh nghiệp được hình thành bởi ba lực: ngành, nguồn lực, và thể chế. Trong các nền kinh tế đang nổi và cận biên, vai trò của thể chế đặc biệt nổi bật.</w:t>
      </w:r>
    </w:p>
    <w:p>
      <w:pPr>
        <w:pStyle w:val="BodyText"/>
      </w:pPr>
      <w:r>
        <w:t xml:space="preserve">Vai trò trong mô hình đề xuất: Lý thuyết thể chế cung cấp logic cho H5 (thể chế ICRV điều tiết theo phổ thể chế). Cùng một mức quốc tế hóa, doanh nghiệp ở Nhóm I thu được hiệu quả khác doanh nghiệp ở Nhóm V do khác biệt về chi phí giao dịch, chất lượng thể chế, và tiếp cận thị trường. Sáu nhóm ICRV là biến điều tiết cấp quốc gia.</w:t>
      </w:r>
    </w:p>
    <w:bookmarkEnd w:id="39"/>
    <w:bookmarkStart w:id="40" w:name="tầng-4-lý-thuyết-thượng-tầng-quản-trị"/>
    <w:p>
      <w:pPr>
        <w:pStyle w:val="Heading5"/>
      </w:pPr>
      <w:r>
        <w:t xml:space="preserve">Tầng 4: Lý thuyết thượng tầng quản trị</w:t>
      </w:r>
    </w:p>
    <w:p>
      <w:pPr>
        <w:pStyle w:val="FirstParagraph"/>
      </w:pPr>
      <w:r>
        <w:t xml:space="preserve">Hambrick và Mason (1984) đề xuất lý thuyết thượng tầng quản trị với luận điểm trung tâm: các quyết định chiến lược của doanh nghiệp phản ánh đặc điểm nhân khẩu học của nhà quản trị cấp cao. Các đặc điểm này gồm tuổi, giáo dục, kinh nghiệm chức năng, thâm niên, kinh nghiệm quốc tế, giới tính.</w:t>
      </w:r>
    </w:p>
    <w:p>
      <w:pPr>
        <w:pStyle w:val="BodyText"/>
      </w:pPr>
      <w:r>
        <w:t xml:space="preserve">Hambrick (2007) bổ sung hai khái niệm quan trọng: mức độ tự do của nhà quản trị trong việc đưa ra quyết định, và áp lực công việc ảnh hưởng đến chất lượng quyết định. Cannella, Park và Lee (2008) cho thấy đa dạng chức năng của đội quản lý cấp cao tương quan dương với hiệu quả ở các môi trường thay đổi nhanh.</w:t>
      </w:r>
    </w:p>
    <w:p>
      <w:pPr>
        <w:pStyle w:val="BodyText"/>
      </w:pPr>
      <w:r>
        <w:t xml:space="preserve">Vai trò trong mô hình đề xuất: Lý thuyết thượng tầng quản trị cung cấp lý thuyết cho H4a–H4c (đặc điểm nhà quản trị điều tiết). Doanh nghiệp có nhà quản trị kinh nghiệm cao (H4a), học vấn cao (H4b) chuyển hóa quốc tế hóa thành hiệu quả tốt hơn thông qua hai kênh: chất lượng quyết định (tránh quốc tế hóa sớm) và năng lực điều phối (quản lý phức tạp đa thị trường). Giới tính nhà quản trị (H4c) được kiểm định khám phá không có dấu tiên nghiệm.</w:t>
      </w:r>
    </w:p>
    <w:bookmarkEnd w:id="40"/>
    <w:bookmarkStart w:id="41" w:name="khung-chấp-nhận-số-nền-tảng-và-cdcm"/>
    <w:p>
      <w:pPr>
        <w:pStyle w:val="Heading5"/>
      </w:pPr>
      <w:r>
        <w:t xml:space="preserve">Khung chấp nhận số nền tảng và CDCM</w:t>
      </w:r>
    </w:p>
    <w:p>
      <w:pPr>
        <w:pStyle w:val="FirstParagraph"/>
      </w:pPr>
      <w:r>
        <w:t xml:space="preserve">Banalieva và Dhanaraj (2019) phát triển lý thuyết nội hóa cho nền kinh tế số, đề xuất rằng nền tảng số làm thay đổi căn bản ba yếu tố cốt lõi của lý thuyết IB: khoảng cách tâm lý giảm đến mức tối thiểu; chuỗi giá trị phân mảnh ở quy mô chưa từng có; doanh nghiệp quốc tế hóa ngay từ ngày đầu thành lập trở thành chuẩn mới.</w:t>
      </w:r>
    </w:p>
    <w:p>
      <w:pPr>
        <w:pStyle w:val="BodyText"/>
      </w:pPr>
      <w:r>
        <w:t xml:space="preserve">Verhoef và cộng sự (2021) đề xuất phân biệt rõ giữa hai loại năng lực: năng lực công nghệ nội tại (TCI) gồm R&amp;D doanh nghiệp, đổi mới sản phẩm, chứng nhận chất lượng ISO, bằng sáng chế, đo lường bằng đầu vào và đầu ra của hoạt động đổi mới (Bậc 3–4); và áp dụng số nền tảng (DAI) gồm sử dụng hạ tầng số cơ bản (website, e-commerce, e-payment), đo lường bằng Bậc 1–2.</w:t>
      </w:r>
    </w:p>
    <w:p>
      <w:pPr>
        <w:pStyle w:val="BodyText"/>
      </w:pPr>
      <w:r>
        <w:t xml:space="preserve">Stallkamp và Schotter (2021) chứng minh rằng nền tảng số cho phép doanh nghiệp nhỏ ở thị trường mới nổi quốc tế hóa với chi phí gần bằng zero, thay đổi căn bản logic Uppsala.</w:t>
      </w:r>
    </w:p>
    <w:p>
      <w:pPr>
        <w:pStyle w:val="BodyText"/>
      </w:pPr>
      <w:r>
        <w:t xml:space="preserve">CDCM, Mô hình Áp dụng số và Năng lực phụ thuộc bối cảnh, được phát hiện qua phân tích đa mẫu trong Chuyên đề Tiến sĩ số 1 cho thấy tác động của DAI lên hiệu quả không đồng nhất mà phụ thuộc đồng thời vào ba chiều ngữ cảnh.</w:t>
      </w:r>
    </w:p>
    <w:p>
      <w:pPr>
        <w:pStyle w:val="BodyText"/>
      </w:pPr>
      <w:r>
        <w:t xml:space="preserve">Chiều thứ nhất là chế độ thể chế (ICRV): ở Nhóm I nơi Bậc 1–2 đã bão hòa, DAI không tạo phần thưởng đồng nhất mà chỉ phát huy qua kênh phụ thuộc xuất khẩu (nghịch lý bão hòa số, P4 Singapore). Ở Nhóm IV, DAI dương nhưng phụ thuộc giai đoạn và chịu thiên lệch chọn lựa (P3 Việt Nam).</w:t>
      </w:r>
    </w:p>
    <w:p>
      <w:pPr>
        <w:pStyle w:val="BodyText"/>
      </w:pPr>
      <w:r>
        <w:t xml:space="preserve">Chiều thứ hai là mức độ quốc tế hóa (FSTS): DAI là nguồn lực mở rộng tình huống, hiệu quả hơn ở FSTS cao nơi nhu cầu điều phối xuyên biên giới dày đặc (P4 Singapore: DAI×FSTS² = +3,119, p = 0,005).</w:t>
      </w:r>
    </w:p>
    <w:p>
      <w:pPr>
        <w:pStyle w:val="BodyText"/>
      </w:pPr>
      <w:r>
        <w:t xml:space="preserve">Chiều thứ ba là mức độ bão hòa số: khi nền kinh tế đạt bão hòa Bậc 1–2, DAI mất tác dụng phân biệt cấp doanh nghiệp (Singapore: tỉ lệ có website 67%); khi chưa bão hòa, DAI vẫn có tín hiệu phân biệt (Việt Nam 2023: 49,8%).</w:t>
      </w:r>
    </w:p>
    <w:p>
      <w:pPr>
        <w:pStyle w:val="BodyText"/>
      </w:pPr>
      <w:r>
        <w:t xml:space="preserve">Yang, Zhao và Wei (2025) tổng hợp bằng chứng từ Trung Quốc, Ấn Độ, Việt Nam cho thấy năng lực số là biến điều tiết mạnh nhất cho quan hệ quốc tế hóa và hiệu quả trong giai đoạn 2018 trở đi, nhưng chỉ khi phân tách đúng cấp độ năng lực.</w:t>
      </w:r>
    </w:p>
    <w:bookmarkEnd w:id="41"/>
    <w:bookmarkStart w:id="42" w:name="tổng-hợp-4-tầng-lý-thuyết"/>
    <w:p>
      <w:pPr>
        <w:pStyle w:val="Heading5"/>
      </w:pPr>
      <w:r>
        <w:t xml:space="preserve">Tổng hợp 4 tầng lý thuyết</w:t>
      </w:r>
    </w:p>
    <w:p>
      <w:pPr>
        <w:pStyle w:val="FirstParagraph"/>
      </w:pPr>
      <w:r>
        <w:t xml:space="preserve">Bảng 2.1. Mỗi tầng lý thuyết, câu hỏi phụ, biến số, giả thuyết, bằng chứng neo đậu.</w:t>
      </w:r>
    </w:p>
    <w:tbl>
      <w:tblPr>
        <w:tblStyle w:val="Table"/>
        <w:tblW w:type="pct" w:w="500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Tầng</w:t>
            </w:r>
          </w:p>
        </w:tc>
        <w:tc>
          <w:tcPr/>
          <w:p>
            <w:pPr>
              <w:pStyle w:val="Compact"/>
              <w:jc w:val="left"/>
            </w:pPr>
            <w:r>
              <w:t xml:space="preserve">Lý thuyết</w:t>
            </w:r>
          </w:p>
        </w:tc>
        <w:tc>
          <w:tcPr/>
          <w:p>
            <w:pPr>
              <w:pStyle w:val="Compact"/>
              <w:jc w:val="left"/>
            </w:pPr>
            <w:r>
              <w:t xml:space="preserve">Câu hỏi phụ</w:t>
            </w:r>
          </w:p>
        </w:tc>
        <w:tc>
          <w:tcPr/>
          <w:p>
            <w:pPr>
              <w:pStyle w:val="Compact"/>
              <w:jc w:val="left"/>
            </w:pPr>
            <w:r>
              <w:t xml:space="preserve">Biến số chính</w:t>
            </w:r>
          </w:p>
        </w:tc>
        <w:tc>
          <w:tcPr/>
          <w:p>
            <w:pPr>
              <w:pStyle w:val="Compact"/>
              <w:jc w:val="left"/>
            </w:pPr>
            <w:r>
              <w:t xml:space="preserve">Giả thuyết</w:t>
            </w:r>
          </w:p>
        </w:tc>
        <w:tc>
          <w:tcPr/>
          <w:p>
            <w:pPr>
              <w:pStyle w:val="Compact"/>
              <w:jc w:val="left"/>
            </w:pPr>
            <w:r>
              <w:t xml:space="preserve">Bằng chứng P3/P4/P5</w:t>
            </w:r>
          </w:p>
        </w:tc>
      </w:tr>
      <w:tr>
        <w:tc>
          <w:tcPr/>
          <w:p>
            <w:pPr>
              <w:pStyle w:val="Compact"/>
              <w:jc w:val="left"/>
            </w:pPr>
            <w:r>
              <w:t xml:space="preserve">1</w:t>
            </w:r>
          </w:p>
        </w:tc>
        <w:tc>
          <w:tcPr/>
          <w:p>
            <w:pPr>
              <w:pStyle w:val="Compact"/>
              <w:jc w:val="left"/>
            </w:pPr>
            <w:r>
              <w:t xml:space="preserve">Uppsala</w:t>
            </w:r>
          </w:p>
        </w:tc>
        <w:tc>
          <w:tcPr/>
          <w:p>
            <w:pPr>
              <w:pStyle w:val="Compact"/>
              <w:jc w:val="left"/>
            </w:pPr>
            <w:r>
              <w:t xml:space="preserve">Cường độ QTH có hiệu ứng phi tuyến không?</w:t>
            </w:r>
          </w:p>
        </w:tc>
        <w:tc>
          <w:tcPr/>
          <w:p>
            <w:pPr>
              <w:pStyle w:val="Compact"/>
              <w:jc w:val="left"/>
            </w:pPr>
            <w:r>
              <w:t xml:space="preserve">I (FSTS,</w:t>
            </w:r>
            <w:r>
              <w:t xml:space="preserve"> </w:t>
            </w:r>
            <m:oMath>
              <m:sSup>
                <m:e>
                  <m:r>
                    <m:rPr>
                      <m:nor/>
                      <m:sty m:val="p"/>
                    </m:rPr>
                    <m:t>FSTS</m:t>
                  </m:r>
                </m:e>
                <m:sup>
                  <m:r>
                    <m:t>2</m:t>
                  </m:r>
                </m:sup>
              </m:sSup>
            </m:oMath>
            <w:r>
              <w:t xml:space="preserve">)</w:t>
            </w:r>
          </w:p>
        </w:tc>
        <w:tc>
          <w:tcPr/>
          <w:p>
            <w:pPr>
              <w:pStyle w:val="Compact"/>
              <w:jc w:val="left"/>
            </w:pPr>
            <w:r>
              <w:t xml:space="preserve">H1 Phi tuyến chữ U ngược</w:t>
            </w:r>
          </w:p>
        </w:tc>
        <w:tc>
          <w:tcPr/>
          <w:p>
            <w:pPr>
              <w:pStyle w:val="Compact"/>
              <w:jc w:val="left"/>
            </w:pPr>
            <w:r>
              <w:t xml:space="preserve">P3: TP 39–46%; P5: TP 47–49%</w:t>
            </w:r>
          </w:p>
        </w:tc>
      </w:tr>
      <w:tr>
        <w:tc>
          <w:tcPr/>
          <w:p>
            <w:pPr>
              <w:pStyle w:val="Compact"/>
              <w:jc w:val="left"/>
            </w:pPr>
            <w:r>
              <w:t xml:space="preserve">2</w:t>
            </w:r>
          </w:p>
        </w:tc>
        <w:tc>
          <w:tcPr/>
          <w:p>
            <w:pPr>
              <w:pStyle w:val="Compact"/>
              <w:jc w:val="left"/>
            </w:pPr>
            <w:r>
              <w:t xml:space="preserve">RBV</w:t>
            </w:r>
          </w:p>
        </w:tc>
        <w:tc>
          <w:tcPr/>
          <w:p>
            <w:pPr>
              <w:pStyle w:val="Compact"/>
              <w:jc w:val="left"/>
            </w:pPr>
            <w:r>
              <w:t xml:space="preserve">Năng lực doanh nghiệp ảnh hưởng thế nào đến hấp thụ lợi ích I?</w:t>
            </w:r>
          </w:p>
        </w:tc>
        <w:tc>
          <w:tcPr/>
          <w:p>
            <w:pPr>
              <w:pStyle w:val="Compact"/>
              <w:jc w:val="left"/>
            </w:pPr>
            <w:r>
              <w:t xml:space="preserve">TCI</w:t>
            </w:r>
          </w:p>
        </w:tc>
        <w:tc>
          <w:tcPr/>
          <w:p>
            <w:pPr>
              <w:pStyle w:val="Compact"/>
              <w:jc w:val="left"/>
            </w:pPr>
            <w:r>
              <w:t xml:space="preserve">H2 TCI điều tiết (+)</w:t>
            </w:r>
          </w:p>
        </w:tc>
        <w:tc>
          <w:tcPr/>
          <w:p>
            <w:pPr>
              <w:pStyle w:val="Compact"/>
              <w:jc w:val="left"/>
            </w:pPr>
            <w:r>
              <w:t xml:space="preserve">P3:</w:t>
            </w:r>
            <w:r>
              <w:t xml:space="preserve"> </w:t>
            </w:r>
            <m:oMath>
              <m:r>
                <m:t>β</m:t>
              </m:r>
              <m:r>
                <m:rPr>
                  <m:sty m:val="p"/>
                </m:rPr>
                <m:t>=</m:t>
              </m:r>
              <m:r>
                <m:t>0</m:t>
              </m:r>
              <m:r>
                <m:rPr>
                  <m:sty m:val="p"/>
                </m:rPr>
                <m:t>,</m:t>
              </m:r>
              <m:r>
                <m:t>179</m:t>
              </m:r>
            </m:oMath>
            <w:r>
              <w:t xml:space="preserve"> </w:t>
            </w:r>
            <w:r>
              <w:t xml:space="preserve">nhân quả (IV); P5: +0,260 đến +0,426</w:t>
            </w:r>
          </w:p>
        </w:tc>
      </w:tr>
      <w:tr>
        <w:tc>
          <w:tcPr/>
          <w:p>
            <w:pPr>
              <w:pStyle w:val="Compact"/>
              <w:jc w:val="left"/>
            </w:pPr>
            <w:r>
              <w:t xml:space="preserve">Digital Adoption Lens</w:t>
            </w:r>
          </w:p>
        </w:tc>
        <w:tc>
          <w:tcPr/>
          <w:p>
            <w:pPr>
              <w:pStyle w:val="Compact"/>
              <w:jc w:val="left"/>
            </w:pPr>
            <w:r>
              <w:t xml:space="preserve">CDCM</w:t>
            </w:r>
          </w:p>
        </w:tc>
        <w:tc>
          <w:tcPr/>
          <w:p>
            <w:pPr>
              <w:pStyle w:val="Compact"/>
              <w:jc w:val="left"/>
            </w:pPr>
            <w:r>
              <w:t xml:space="preserve">Năng lực số có cơ chế khác TCI không?</w:t>
            </w:r>
          </w:p>
        </w:tc>
        <w:tc>
          <w:tcPr/>
          <w:p>
            <w:pPr>
              <w:pStyle w:val="Compact"/>
              <w:jc w:val="left"/>
            </w:pPr>
            <w:r>
              <w:t xml:space="preserve">DAI</w:t>
            </w:r>
          </w:p>
        </w:tc>
        <w:tc>
          <w:tcPr/>
          <w:p>
            <w:pPr>
              <w:pStyle w:val="Compact"/>
              <w:jc w:val="left"/>
            </w:pPr>
            <w:r>
              <w:t xml:space="preserve">H3a–H3b DAI phụ thuộc chế độ thể chế</w:t>
            </w:r>
          </w:p>
        </w:tc>
        <w:tc>
          <w:tcPr/>
          <w:p>
            <w:pPr>
              <w:pStyle w:val="Compact"/>
              <w:jc w:val="left"/>
            </w:pPr>
            <w:r>
              <w:t xml:space="preserve">P4:</w:t>
            </w:r>
            <w:r>
              <w:t xml:space="preserve"> </w:t>
            </w:r>
            <m:oMath>
              <m:r>
                <m:rPr>
                  <m:nor/>
                  <m:sty m:val="p"/>
                </m:rPr>
                <m:t>DAI</m:t>
              </m:r>
              <m:r>
                <m:rPr>
                  <m:sty m:val="p"/>
                </m:rPr>
                <m:t>×</m:t>
              </m:r>
              <m:sSup>
                <m:e>
                  <m:r>
                    <m:rPr>
                      <m:nor/>
                      <m:sty m:val="p"/>
                    </m:rPr>
                    <m:t>FSTS</m:t>
                  </m:r>
                </m:e>
                <m:sup>
                  <m:r>
                    <m:t>2</m:t>
                  </m:r>
                </m:sup>
              </m:sSup>
              <m:r>
                <m:rPr>
                  <m:sty m:val="p"/>
                </m:rPr>
                <m:t>=</m:t>
              </m:r>
              <m:r>
                <m:rPr>
                  <m:sty m:val="p"/>
                </m:rPr>
                <m:t>+</m:t>
              </m:r>
              <m:r>
                <m:t>3</m:t>
              </m:r>
              <m:r>
                <m:rPr>
                  <m:sty m:val="p"/>
                </m:rPr>
                <m:t>,</m:t>
              </m:r>
              <m:r>
                <m:t>119</m:t>
              </m:r>
            </m:oMath>
            <w:r>
              <w:t xml:space="preserve"> </w:t>
            </w:r>
            <w:r>
              <w:t xml:space="preserve">(Nhóm I); P3: IV null (</w:t>
            </w:r>
            <m:oMath>
              <m:r>
                <m:t>β</m:t>
              </m:r>
              <m:r>
                <m:rPr>
                  <m:sty m:val="p"/>
                </m:rPr>
                <m:t>=</m:t>
              </m:r>
              <m:r>
                <m:t>0</m:t>
              </m:r>
              <m:r>
                <m:rPr>
                  <m:sty m:val="p"/>
                </m:rPr>
                <m:t>,</m:t>
              </m:r>
              <m:r>
                <m:t>018</m:t>
              </m:r>
            </m:oMath>
            <w:r>
              <w:t xml:space="preserve">, Nhóm IV)</w:t>
            </w:r>
          </w:p>
        </w:tc>
      </w:tr>
      <w:tr>
        <w:tc>
          <w:tcPr/>
          <w:p>
            <w:pPr>
              <w:pStyle w:val="Compact"/>
              <w:jc w:val="left"/>
            </w:pPr>
            <w:r>
              <w:t xml:space="preserve">4</w:t>
            </w:r>
          </w:p>
        </w:tc>
        <w:tc>
          <w:tcPr/>
          <w:p>
            <w:pPr>
              <w:pStyle w:val="Compact"/>
              <w:jc w:val="left"/>
            </w:pPr>
            <w:r>
              <w:t xml:space="preserve">Upper Echelons</w:t>
            </w:r>
          </w:p>
        </w:tc>
        <w:tc>
          <w:tcPr/>
          <w:p>
            <w:pPr>
              <w:pStyle w:val="Compact"/>
              <w:jc w:val="left"/>
            </w:pPr>
            <w:r>
              <w:t xml:space="preserve">Đặc điểm nhà quản trị tác động thế nào?</w:t>
            </w:r>
          </w:p>
        </w:tc>
        <w:tc>
          <w:tcPr/>
          <w:p>
            <w:pPr>
              <w:pStyle w:val="Compact"/>
              <w:jc w:val="left"/>
            </w:pPr>
            <w:r>
              <w:t xml:space="preserve">Nhà quản trị cấp cao</w:t>
            </w:r>
          </w:p>
        </w:tc>
        <w:tc>
          <w:tcPr/>
          <w:p>
            <w:pPr>
              <w:pStyle w:val="Compact"/>
              <w:jc w:val="left"/>
            </w:pPr>
            <w:r>
              <w:t xml:space="preserve">H4a–H4c Quản trị điều tiết</w:t>
            </w:r>
          </w:p>
        </w:tc>
        <w:tc>
          <w:tcPr/>
          <w:p>
            <w:pPr>
              <w:pStyle w:val="Compact"/>
              <w:jc w:val="left"/>
            </w:pPr>
            <w:r>
              <w:t xml:space="preserve">(kiểm định trong M5, dữ liệu WBES)</w:t>
            </w:r>
          </w:p>
        </w:tc>
      </w:tr>
      <w:tr>
        <w:tc>
          <w:tcPr/>
          <w:p>
            <w:pPr>
              <w:pStyle w:val="Compact"/>
              <w:jc w:val="left"/>
            </w:pPr>
            <w:r>
              <w:t xml:space="preserve">3</w:t>
            </w:r>
          </w:p>
        </w:tc>
        <w:tc>
          <w:tcPr/>
          <w:p>
            <w:pPr>
              <w:pStyle w:val="Compact"/>
              <w:jc w:val="left"/>
            </w:pPr>
            <w:r>
              <w:t xml:space="preserve">Institutional</w:t>
            </w:r>
          </w:p>
        </w:tc>
        <w:tc>
          <w:tcPr/>
          <w:p>
            <w:pPr>
              <w:pStyle w:val="Compact"/>
              <w:jc w:val="left"/>
            </w:pPr>
            <w:r>
              <w:t xml:space="preserve">Thể chế nội địa định hình quan hệ ra sao?</w:t>
            </w:r>
          </w:p>
        </w:tc>
        <w:tc>
          <w:tcPr/>
          <w:p>
            <w:pPr>
              <w:pStyle w:val="Compact"/>
              <w:jc w:val="left"/>
            </w:pPr>
            <w:r>
              <w:t xml:space="preserve">ICRV (6 nhóm)</w:t>
            </w:r>
          </w:p>
        </w:tc>
        <w:tc>
          <w:tcPr/>
          <w:p>
            <w:pPr>
              <w:pStyle w:val="Compact"/>
              <w:jc w:val="left"/>
            </w:pPr>
            <w:r>
              <w:t xml:space="preserve">H5 Phổ thể chế</w:t>
            </w:r>
          </w:p>
        </w:tc>
        <w:tc>
          <w:tcPr/>
          <w:p>
            <w:pPr>
              <w:pStyle w:val="Compact"/>
              <w:jc w:val="left"/>
            </w:pPr>
            <w:r>
              <w:t xml:space="preserve">Phân tích mô tả CĐ1: phân tán LP tăng theo chế độ</w:t>
            </w:r>
          </w:p>
        </w:tc>
      </w:tr>
      <w:tr>
        <w:tc>
          <w:tcPr/>
          <w:p>
            <w:pPr>
              <w:pStyle w:val="Compact"/>
              <w:jc w:val="left"/>
            </w:pPr>
            <w:r>
              <w:t xml:space="preserve">–</w:t>
            </w:r>
          </w:p>
        </w:tc>
        <w:tc>
          <w:tcPr/>
          <w:p>
            <w:pPr>
              <w:pStyle w:val="Compact"/>
              <w:jc w:val="left"/>
            </w:pPr>
            <w:r>
              <w:t xml:space="preserve">(Thời gian)</w:t>
            </w:r>
          </w:p>
        </w:tc>
        <w:tc>
          <w:tcPr/>
          <w:p>
            <w:pPr>
              <w:pStyle w:val="Compact"/>
              <w:jc w:val="left"/>
            </w:pPr>
            <w:r>
              <w:t xml:space="preserve">Quan hệ thay đổi qua thời gian không?</w:t>
            </w:r>
          </w:p>
        </w:tc>
        <w:tc>
          <w:tcPr/>
          <w:p>
            <w:pPr>
              <w:pStyle w:val="Compact"/>
              <w:jc w:val="left"/>
            </w:pPr>
            <w:r>
              <w:t xml:space="preserve">Year-bucket</w:t>
            </w:r>
          </w:p>
        </w:tc>
        <w:tc>
          <w:tcPr/>
          <w:p>
            <w:pPr>
              <w:pStyle w:val="Compact"/>
              <w:jc w:val="left"/>
            </w:pPr>
            <w:r>
              <w:t xml:space="preserve">H6 Không đồng nhất thời gian</w:t>
            </w:r>
          </w:p>
        </w:tc>
        <w:tc>
          <w:tcPr/>
          <w:p>
            <w:pPr>
              <w:pStyle w:val="Compact"/>
              <w:jc w:val="left"/>
            </w:pPr>
            <w:r>
              <w:t xml:space="preserve">P3: Paternoster p &lt; 0,001; P5: TCI Paternoster p = 0,011</w:t>
            </w:r>
          </w:p>
        </w:tc>
      </w:tr>
    </w:tbl>
    <w:p>
      <w:pPr>
        <w:pStyle w:val="BodyText"/>
      </w:pPr>
      <w:r>
        <w:t xml:space="preserve">Lập luận tích hợp: quốc tế hóa là quyết định chiến lược theo logic Uppsala (tầng 1); kết quả phụ thuộc nguồn lực doanh nghiệp, TCI (RBV/Lall, 1992) đóng vai trò nâng mặt bằng nhân quả; được hỗ trợ bởi hạ tầng số có điều kiện, DAI (Foundational Digital Adoption Framework/Verhoef et al., 2021) là nguồn lực mở rộng tình huống theo CDCM; phản ánh đặc điểm nhà quản trị, gồm định hướng quốc tế của đội ngũ quản trị cấp cao (Upper Echelons/Hambrick &amp; Mason, 1984; Nielsen &amp; Nielsen, 2011); bị khuôn khổ bởi thể chế nội địa (Institutional Theory/North, 1990), phổ thể chế ICRV 6 nhóm với gánh nặng bắt buộc ở quốc đảo nhỏ; và thay đổi theo bối cảnh thời gian, thiết kế ba giai đoạn.</w:t>
      </w:r>
    </w:p>
    <w:p>
      <w:pPr>
        <w:pStyle w:val="BodyText"/>
      </w:pPr>
      <w:r>
        <w:t xml:space="preserve">Hạn chế của khung tích hợp: khó tách hiệu ứng riêng từng tầng nếu không có dữ liệu bảng dài; một số biến quan trọng theo Uppsala (khoảng cách tâm lý, gắn kết mạng lưới) khó đo trong WBES; TCI và DAI có thể tương quan; ICRV và country hiệu ứng cố định có thể đa cộng; CDCM chỉ đo ở Bậc 1–2 do hạn chế WBES.</w:t>
      </w:r>
    </w:p>
    <w:bookmarkEnd w:id="42"/>
    <w:bookmarkEnd w:id="43"/>
    <w:bookmarkStart w:id="53" w:name="X544ac3c1efd6eca36fd2a6dd76d3c4cb20b85eb"/>
    <w:p>
      <w:pPr>
        <w:pStyle w:val="Heading4"/>
      </w:pPr>
      <w:r>
        <w:t xml:space="preserve">2.3.3 Khung khái niệm và mô hình nghiên cứu đề xuất</w:t>
      </w:r>
    </w:p>
    <w:p>
      <w:pPr>
        <w:pStyle w:val="FirstParagraph"/>
      </w:pPr>
      <w:r>
        <w:t xml:space="preserve">Khung khái niệm được xây dựng theo quy trình năm bước (Whetten, 1989; Dubin, 1978): (1) xác định khoảng trống lý thuyết; (2) lựa chọn và biện minh lý thuyết nền; (3) phát triển giả thuyết có cơ chế nhân quả rõ ràng; (4) thiết kế sơ đồ trực quan nhất quán với hệ giả thuyết; (5) kiểm tra tính đồng nhất giữa mô hình, giả thuyết và chiến lược thực nghiệm. Mô hình kết hợp năm tầng lý thuyết, Uppsala Model, lý thuyết dựa trên nguồn lực, lý thuyết thể chế, lý thuyết thượng tầng quản trị và Khung chấp nhận số nền tảng, vào một cấu trúc nhân quả kiểm định được, nhận diện rõ vai trò của từng biến:</w:t>
      </w:r>
      <w:r>
        <w:t xml:space="preserve"> </w:t>
      </w:r>
      <w:r>
        <w:rPr>
          <w:bCs/>
          <w:b/>
        </w:rPr>
        <w:t xml:space="preserve">biến độc lập</w:t>
      </w:r>
      <w:r>
        <w:t xml:space="preserve"> </w:t>
      </w:r>
      <w:r>
        <w:t xml:space="preserve">(quốc tế hóa, đo bằng FSTS và dạng phi tuyến FSTS²_c),</w:t>
      </w:r>
      <w:r>
        <w:t xml:space="preserve"> </w:t>
      </w:r>
      <w:r>
        <w:rPr>
          <w:bCs/>
          <w:b/>
        </w:rPr>
        <w:t xml:space="preserve">biến phụ thuộc</w:t>
      </w:r>
      <w:r>
        <w:t xml:space="preserve"> </w:t>
      </w:r>
      <w:r>
        <w:t xml:space="preserve">(hiệu quả, đo bằng ln(Labour Productivity)),</w:t>
      </w:r>
      <w:r>
        <w:t xml:space="preserve"> </w:t>
      </w:r>
      <w:r>
        <w:rPr>
          <w:bCs/>
          <w:b/>
        </w:rPr>
        <w:t xml:space="preserve">biến điều tiết</w:t>
      </w:r>
      <w:r>
        <w:t xml:space="preserve"> </w:t>
      </w:r>
      <w:r>
        <w:t xml:space="preserve">cấp doanh nghiệp (TCI, DAI) và cấp quốc gia (ICRV regime, thời gian),</w:t>
      </w:r>
      <w:r>
        <w:t xml:space="preserve"> </w:t>
      </w:r>
      <w:r>
        <w:rPr>
          <w:bCs/>
          <w:b/>
        </w:rPr>
        <w:t xml:space="preserve">biến kiểm soát</w:t>
      </w:r>
      <w:r>
        <w:t xml:space="preserve"> </w:t>
      </w:r>
      <w:r>
        <w:t xml:space="preserve">(quy mô, tuổi, sở hữu nước ngoài, sector FE, country FE, year FE).</w:t>
      </w:r>
    </w:p>
    <w:bookmarkStart w:id="47" w:name="X554d9a38aa5071c54dd41cf832555f814bf88a4"/>
    <w:p>
      <w:pPr>
        <w:pStyle w:val="Heading5"/>
      </w:pPr>
      <w:r>
        <w:t xml:space="preserve">Hình 2.1: Khung khái niệm tích hợp (tổng quan)</w:t>
      </w:r>
    </w:p>
    <w:p>
      <w:pPr>
        <w:pStyle w:val="CaptionedFigure"/>
      </w:pPr>
      <w:r>
        <w:drawing>
          <wp:inline>
            <wp:extent cx="5753100" cy="3040985"/>
            <wp:effectExtent b="0" l="0" r="0" t="0"/>
            <wp:docPr descr="Hình 2.1: Khung khái niệm tích hợp CĐ2" title="" id="45" name="Picture"/>
            <a:graphic>
              <a:graphicData uri="http://schemas.openxmlformats.org/drawingml/2006/picture">
                <pic:pic>
                  <pic:nvPicPr>
                    <pic:cNvPr descr="figures/hinh_2_1_khung_khai_niem.png" id="46" name="Picture"/>
                    <pic:cNvPicPr>
                      <a:picLocks noChangeArrowheads="1" noChangeAspect="1"/>
                    </pic:cNvPicPr>
                  </pic:nvPicPr>
                  <pic:blipFill>
                    <a:blip r:embed="rId44"/>
                    <a:stretch>
                      <a:fillRect/>
                    </a:stretch>
                  </pic:blipFill>
                  <pic:spPr bwMode="auto">
                    <a:xfrm>
                      <a:off x="0" y="0"/>
                      <a:ext cx="5753100" cy="3040985"/>
                    </a:xfrm>
                    <a:prstGeom prst="rect">
                      <a:avLst/>
                    </a:prstGeom>
                    <a:noFill/>
                    <a:ln w="9525">
                      <a:noFill/>
                      <a:headEnd/>
                      <a:tailEnd/>
                    </a:ln>
                  </pic:spPr>
                </pic:pic>
              </a:graphicData>
            </a:graphic>
          </wp:inline>
        </w:drawing>
      </w:r>
    </w:p>
    <w:p>
      <w:pPr>
        <w:pStyle w:val="ImageCaption"/>
      </w:pPr>
      <w:r>
        <w:t xml:space="preserve">Hình 2.1: Khung khái niệm tích hợp CĐ2</w:t>
      </w:r>
    </w:p>
    <w:p>
      <w:pPr>
        <w:pStyle w:val="BodyText"/>
      </w:pPr>
      <w:r>
        <w:rPr>
          <w:iCs/>
          <w:i/>
        </w:rPr>
        <w:t xml:space="preserve">Hình 2.1.</w:t>
      </w:r>
      <w:r>
        <w:t xml:space="preserve"> </w:t>
      </w:r>
      <w:r>
        <w:t xml:space="preserve">Khung khái niệm tích hợp Chuyên đề 2 (H1–H6, năm tầng lý thuyết).</w:t>
      </w:r>
    </w:p>
    <w:p>
      <w:pPr>
        <w:pStyle w:val="BodyText"/>
      </w:pPr>
      <w:r>
        <w:t xml:space="preserve">Mũi tên liền nét biểu thị tác động trực tiếp (H1: quan hệ phi tuyến I–P). Mũi tên đứt nét biểu thị tác động điều tiết. H1–H6 tương ứng với các giả thuyết phát triển trong Mục 2.3.4. Biến phụ thuộc (ln(Labour Productivity)) được xác định duy nhất ở cực phải. Biến độc lập (FSTS, FSTS²_c, FSTS³_c) ở cực trái. Năm nhóm biến điều tiết phân theo hai cấp: cấp doanh nghiệp (TCI, H2, DAI, H3, đặc điểm nhà quản trị, H4a–H4c) và cấp quốc gia (ICRV regime, H5, giai đoạn thời gian, H6). Biến kiểm soát (ln(emp), firm_age, foreign_own, ngành/country/year FE) được đưa vào mô hình thực nghiệm nhưng không hiển thị trong sơ đồ để đơn giản hóa trình bày. Mỗi tầng lý thuyết cung cấp cơ chế nhân quả riêng biệt: Uppsala giải thích đường cong quốc tế hóa và hiệu quả; lý thuyết dựa trên nguồn lực biện minh cho H2; Khung chấp nhận số nền tảng (CDCM) biện minh cho H3; lý thuyết thượng tầng quản trị biện minh cho H4; lý thuyết thể chế biện minh cho H5. Bằng chứng neo đậu từ P3 Việt Nam, P4 Singapore và P5 Trung Quốc xác nhận tính khả nghiệm trước khi áp dụng cho toàn mẫu gộp 88.869 doanh nghiệp (50 nền, gồm Nhật Bản).</w:t>
      </w:r>
    </w:p>
    <w:bookmarkEnd w:id="47"/>
    <w:bookmarkStart w:id="51" w:name="hình-2.2-cơ-chế-cdcm-chi-tiết"/>
    <w:p>
      <w:pPr>
        <w:pStyle w:val="Heading5"/>
      </w:pPr>
      <w:r>
        <w:t xml:space="preserve">Hình 2.2: Cơ chế CDCM chi tiết</w:t>
      </w:r>
    </w:p>
    <w:p>
      <w:pPr>
        <w:pStyle w:val="CaptionedFigure"/>
      </w:pPr>
      <w:r>
        <w:drawing>
          <wp:inline>
            <wp:extent cx="5753100" cy="2244603"/>
            <wp:effectExtent b="0" l="0" r="0" t="0"/>
            <wp:docPr descr="Hình 2.2: Cơ chế CDCM theo ba nhóm ICRV" title="" id="49" name="Picture"/>
            <a:graphic>
              <a:graphicData uri="http://schemas.openxmlformats.org/drawingml/2006/picture">
                <pic:pic>
                  <pic:nvPicPr>
                    <pic:cNvPr descr="figures/hinh_2_2_cdcm_detail.png" id="50" name="Picture"/>
                    <pic:cNvPicPr>
                      <a:picLocks noChangeArrowheads="1" noChangeAspect="1"/>
                    </pic:cNvPicPr>
                  </pic:nvPicPr>
                  <pic:blipFill>
                    <a:blip r:embed="rId48"/>
                    <a:stretch>
                      <a:fillRect/>
                    </a:stretch>
                  </pic:blipFill>
                  <pic:spPr bwMode="auto">
                    <a:xfrm>
                      <a:off x="0" y="0"/>
                      <a:ext cx="5753100" cy="2244603"/>
                    </a:xfrm>
                    <a:prstGeom prst="rect">
                      <a:avLst/>
                    </a:prstGeom>
                    <a:noFill/>
                    <a:ln w="9525">
                      <a:noFill/>
                      <a:headEnd/>
                      <a:tailEnd/>
                    </a:ln>
                  </pic:spPr>
                </pic:pic>
              </a:graphicData>
            </a:graphic>
          </wp:inline>
        </w:drawing>
      </w:r>
    </w:p>
    <w:p>
      <w:pPr>
        <w:pStyle w:val="ImageCaption"/>
      </w:pPr>
      <w:r>
        <w:t xml:space="preserve">Hình 2.2: Cơ chế CDCM theo ba nhóm ICRV</w:t>
      </w:r>
    </w:p>
    <w:p>
      <w:pPr>
        <w:pStyle w:val="BodyText"/>
      </w:pPr>
      <w:r>
        <w:rPr>
          <w:iCs/>
          <w:i/>
        </w:rPr>
        <w:t xml:space="preserve">Hình 2.2.</w:t>
      </w:r>
      <w:r>
        <w:t xml:space="preserve"> </w:t>
      </w:r>
      <w:r>
        <w:t xml:space="preserve">Cơ chế Country–Digital–Capability Moderation (CDCM) theo ba nhóm ICRV đại diện.</w:t>
      </w:r>
    </w:p>
    <w:p>
      <w:pPr>
        <w:pStyle w:val="BodyText"/>
      </w:pPr>
      <w:r>
        <w:t xml:space="preserve">DAI (Digital Adoption Index) không phải là nguồn lực đồng nhất mà là</w:t>
      </w:r>
      <w:r>
        <w:t xml:space="preserve"> </w:t>
      </w:r>
      <w:r>
        <w:rPr>
          <w:bCs/>
          <w:b/>
        </w:rPr>
        <w:t xml:space="preserve">nguồn lực phụ thuộc ngữ cảnh</w:t>
      </w:r>
      <w:r>
        <w:t xml:space="preserve"> </w:t>
      </w:r>
      <w:r>
        <w:t xml:space="preserve">(context-contingent resource), vai trò của DAI trong quan hệ quốc tế hóa và hiệu quả thay đổi theo regime thể chế và mức bão hòa số của nền kinh tế. Nhóm I (Singapore, Advanced I, bão hòa số cao): DAI Bậc 1+2 vận hành như nguồn lực khuếch đại tình huống, tác động chỉ xuất hiện khi cường độ xuất khẩu đạt ngưỡng cao (FSTS²×DAI = +3,119; P4). Nhóm IV (Việt Nam, Lower_mid_transition, bão hòa số thấp; Nhóm IV trong cả hệ 5 nhóm P6 lẫn hệ 6 nhóm CD2): DAI Bậc 1 là ràng buộc đo lường; tác động dương theo OLS nhưng biến mất sau hiệu chỉnh nội sinh biến công cụ (β = 0,018, p = 0,942; P3). Nhóm III (Trung Quốc, Upper-Middle/Emerging transition, bão hòa số trung bình): DAI Bậc 1 phổ biến &gt;60%, mất khả năng phân biệt, giữ như biến kiểm soát không phải biến điều tiết (P5). Cơ chế này giải thích tại sao kết quả</w:t>
      </w:r>
      <w:r>
        <w:t xml:space="preserve"> </w:t>
      </w:r>
      <w:r>
        <w:t xml:space="preserve">“</w:t>
      </w:r>
      <w:r>
        <w:t xml:space="preserve">DAI null</w:t>
      </w:r>
      <w:r>
        <w:t xml:space="preserve">”</w:t>
      </w:r>
      <w:r>
        <w:t xml:space="preserve"> </w:t>
      </w:r>
      <w:r>
        <w:t xml:space="preserve">và</w:t>
      </w:r>
      <w:r>
        <w:t xml:space="preserve"> </w:t>
      </w:r>
      <w:r>
        <w:t xml:space="preserve">“</w:t>
      </w:r>
      <w:r>
        <w:t xml:space="preserve">DAI dương</w:t>
      </w:r>
      <w:r>
        <w:t xml:space="preserve">”</w:t>
      </w:r>
      <w:r>
        <w:t xml:space="preserve"> </w:t>
      </w:r>
      <w:r>
        <w:t xml:space="preserve">đều nhất quán với lý thuyết CDCM, khác nhau ở điều kiện bối cảnh, không mâu thuẫn về lý thuyết nền tảng.</w:t>
      </w:r>
    </w:p>
    <w:bookmarkEnd w:id="51"/>
    <w:bookmarkStart w:id="52" w:name="bảng-2.4-mapping-biến-đầy-đủ"/>
    <w:p>
      <w:pPr>
        <w:pStyle w:val="Heading5"/>
      </w:pPr>
      <w:r>
        <w:t xml:space="preserve">Bảng 2.4: Mapping biến đầy đủ</w:t>
      </w:r>
    </w:p>
    <w:p>
      <w:pPr>
        <w:pStyle w:val="FirstParagraph"/>
      </w:pPr>
      <w:r>
        <w:t xml:space="preserve">Bảng 2.4. Mapping biến đầy đủ: khái niệm lý thuyết, biến WBES, kỳ vọng dấu, giả thuyết.</w:t>
      </w:r>
    </w:p>
    <w:tbl>
      <w:tblPr>
        <w:tblStyle w:val="Table"/>
        <w:tblW w:type="pct" w:w="5000"/>
        <w:tblLook w:firstRow="1" w:lastRow="0" w:firstColumn="0" w:lastColumn="0" w:noHBand="0" w:noVBand="0" w:val="0020"/>
        <w:jc w:val="start"/>
      </w:tblPr>
      <w:tblGrid>
        <w:gridCol w:w="819"/>
        <w:gridCol w:w="1502"/>
        <w:gridCol w:w="1228"/>
        <w:gridCol w:w="1502"/>
        <w:gridCol w:w="1228"/>
        <w:gridCol w:w="1638"/>
      </w:tblGrid>
      <w:tr>
        <w:trPr>
          <w:tblHeader w:val="true"/>
        </w:trPr>
        <w:tc>
          <w:tcPr/>
          <w:p>
            <w:pPr>
              <w:pStyle w:val="Compact"/>
              <w:jc w:val="left"/>
            </w:pPr>
            <w:r>
              <w:t xml:space="preserve">Biến</w:t>
            </w:r>
          </w:p>
        </w:tc>
        <w:tc>
          <w:tcPr/>
          <w:p>
            <w:pPr>
              <w:pStyle w:val="Compact"/>
              <w:jc w:val="left"/>
            </w:pPr>
            <w:r>
              <w:t xml:space="preserve">Khái niệm</w:t>
            </w:r>
          </w:p>
        </w:tc>
        <w:tc>
          <w:tcPr/>
          <w:p>
            <w:pPr>
              <w:pStyle w:val="Compact"/>
              <w:jc w:val="left"/>
            </w:pPr>
            <w:r>
              <w:t xml:space="preserve">Mã WBES</w:t>
            </w:r>
          </w:p>
        </w:tc>
        <w:tc>
          <w:tcPr/>
          <w:p>
            <w:pPr>
              <w:pStyle w:val="Compact"/>
              <w:jc w:val="left"/>
            </w:pPr>
            <w:r>
              <w:t xml:space="preserve">Công thức</w:t>
            </w:r>
          </w:p>
        </w:tc>
        <w:tc>
          <w:tcPr/>
          <w:p>
            <w:pPr>
              <w:pStyle w:val="Compact"/>
              <w:jc w:val="left"/>
            </w:pPr>
            <w:r>
              <w:t xml:space="preserve">Kỳ vọng</w:t>
            </w:r>
          </w:p>
        </w:tc>
        <w:tc>
          <w:tcPr/>
          <w:p>
            <w:pPr>
              <w:pStyle w:val="Compact"/>
              <w:jc w:val="left"/>
            </w:pPr>
            <w:r>
              <w:t xml:space="preserve">Giả thuyết</w:t>
            </w:r>
          </w:p>
        </w:tc>
      </w:tr>
      <w:tr>
        <w:tc>
          <w:tcPr/>
          <w:p>
            <w:pPr>
              <w:pStyle w:val="Compact"/>
              <w:jc w:val="left"/>
            </w:pPr>
            <w:r>
              <w:t xml:space="preserve">ln(LP)</w:t>
            </w:r>
          </w:p>
        </w:tc>
        <w:tc>
          <w:tcPr/>
          <w:p>
            <w:pPr>
              <w:pStyle w:val="Compact"/>
              <w:jc w:val="left"/>
            </w:pPr>
            <w:r>
              <w:t xml:space="preserve">Năng suất lao động</w:t>
            </w:r>
          </w:p>
        </w:tc>
        <w:tc>
          <w:tcPr/>
          <w:p>
            <w:pPr>
              <w:pStyle w:val="Compact"/>
              <w:jc w:val="left"/>
            </w:pPr>
            <w:r>
              <w:t xml:space="preserve">d2, l1</w:t>
            </w:r>
          </w:p>
        </w:tc>
        <w:tc>
          <w:tcPr/>
          <w:p>
            <w:pPr>
              <w:pStyle w:val="Compact"/>
              <w:jc w:val="left"/>
            </w:pPr>
            <w:r>
              <w:t xml:space="preserve">ln(d2/l1)</w:t>
            </w:r>
          </w:p>
        </w:tc>
        <w:tc>
          <w:tcPr/>
          <w:p>
            <w:pPr>
              <w:pStyle w:val="Compact"/>
              <w:jc w:val="left"/>
            </w:pPr>
            <w:r>
              <w:t xml:space="preserve">Biến phụ thuộc</w:t>
            </w:r>
          </w:p>
        </w:tc>
        <w:tc>
          <w:tcPr/>
          <w:p>
            <w:pPr>
              <w:pStyle w:val="Compact"/>
              <w:jc w:val="left"/>
            </w:pPr>
            <w:r>
              <w:t xml:space="preserve">–</w:t>
            </w:r>
          </w:p>
        </w:tc>
      </w:tr>
      <w:tr>
        <w:tc>
          <w:tcPr/>
          <w:p>
            <w:pPr>
              <w:pStyle w:val="Compact"/>
              <w:jc w:val="left"/>
            </w:pPr>
            <w:r>
              <w:t xml:space="preserve">FSTS</w:t>
            </w:r>
          </w:p>
        </w:tc>
        <w:tc>
          <w:tcPr/>
          <w:p>
            <w:pPr>
              <w:pStyle w:val="Compact"/>
              <w:jc w:val="left"/>
            </w:pPr>
            <w:r>
              <w:t xml:space="preserve">Cường độ QTH</w:t>
            </w:r>
          </w:p>
        </w:tc>
        <w:tc>
          <w:tcPr/>
          <w:p>
            <w:pPr>
              <w:pStyle w:val="Compact"/>
              <w:jc w:val="left"/>
            </w:pPr>
            <w:r>
              <w:t xml:space="preserve">d3c</w:t>
            </w:r>
          </w:p>
        </w:tc>
        <w:tc>
          <w:tcPr/>
          <w:p>
            <w:pPr>
              <w:pStyle w:val="Compact"/>
              <w:jc w:val="left"/>
            </w:pPr>
            <w:r>
              <w:t xml:space="preserve">d3c/100</w:t>
            </w:r>
          </w:p>
        </w:tc>
        <w:tc>
          <w:tcPr/>
          <w:p>
            <w:pPr>
              <w:pStyle w:val="Compact"/>
              <w:jc w:val="left"/>
            </w:pPr>
            <m:oMath>
              <m:sSub>
                <m:e>
                  <m:r>
                    <m:t>β</m:t>
                  </m:r>
                </m:e>
                <m:sub>
                  <m:r>
                    <m:t>1</m:t>
                  </m:r>
                </m:sub>
              </m:sSub>
              <m:r>
                <m:rPr>
                  <m:sty m:val="p"/>
                </m:rPr>
                <m:t>&gt;</m:t>
              </m:r>
              <m:r>
                <m:t>0</m:t>
              </m:r>
            </m:oMath>
          </w:p>
        </w:tc>
        <w:tc>
          <w:tcPr/>
          <w:p>
            <w:pPr>
              <w:pStyle w:val="Compact"/>
              <w:jc w:val="left"/>
            </w:pPr>
            <w:r>
              <w:t xml:space="preserve">H1</w:t>
            </w:r>
          </w:p>
        </w:tc>
      </w:tr>
      <w:tr>
        <w:tc>
          <w:tcPr/>
          <w:p>
            <w:pPr>
              <w:pStyle w:val="Compact"/>
              <w:jc w:val="left"/>
            </w:pPr>
            <m:oMath>
              <m:sSup>
                <m:e>
                  <m:r>
                    <m:rPr>
                      <m:nor/>
                      <m:sty m:val="p"/>
                    </m:rPr>
                    <m:t>FSTS</m:t>
                  </m:r>
                </m:e>
                <m:sup>
                  <m:r>
                    <m:t>2</m:t>
                  </m:r>
                </m:sup>
              </m:sSup>
            </m:oMath>
          </w:p>
        </w:tc>
        <w:tc>
          <w:tcPr/>
          <w:p>
            <w:pPr>
              <w:pStyle w:val="Compact"/>
              <w:jc w:val="left"/>
            </w:pPr>
            <w:r>
              <w:t xml:space="preserve">Phi tuyến</w:t>
            </w:r>
          </w:p>
        </w:tc>
        <w:tc>
          <w:tcPr/>
          <w:p>
            <w:pPr>
              <w:pStyle w:val="Compact"/>
              <w:jc w:val="left"/>
            </w:pPr>
            <w:r>
              <w:t xml:space="preserve">–</w:t>
            </w:r>
          </w:p>
        </w:tc>
        <w:tc>
          <w:tcPr/>
          <w:p>
            <w:pPr>
              <w:pStyle w:val="Compact"/>
              <w:jc w:val="left"/>
            </w:pPr>
            <m:oMath>
              <m:sSup>
                <m:e>
                  <m:d>
                    <m:dPr>
                      <m:begChr m:val="("/>
                      <m:endChr m:val=")"/>
                      <m:sepChr m:val=""/>
                      <m:grow/>
                    </m:dPr>
                    <m:e>
                      <m:sSub>
                        <m:e>
                          <m:r>
                            <m:rPr>
                              <m:nor/>
                              <m:sty m:val="p"/>
                            </m:rPr>
                            <m:t>FSTS</m:t>
                          </m:r>
                        </m:e>
                        <m:sub>
                          <m:r>
                            <m:t>c</m:t>
                          </m:r>
                        </m:sub>
                      </m:sSub>
                    </m:e>
                  </m:d>
                </m:e>
                <m:sup>
                  <m:r>
                    <m:t>2</m:t>
                  </m:r>
                </m:sup>
              </m:sSup>
            </m:oMath>
          </w:p>
        </w:tc>
        <w:tc>
          <w:tcPr/>
          <w:p>
            <w:pPr>
              <w:pStyle w:val="Compact"/>
              <w:jc w:val="left"/>
            </w:pPr>
            <m:oMath>
              <m:sSub>
                <m:e>
                  <m:r>
                    <m:t>β</m:t>
                  </m:r>
                </m:e>
                <m:sub>
                  <m:r>
                    <m:t>2</m:t>
                  </m:r>
                </m:sub>
              </m:sSub>
              <m:r>
                <m:rPr>
                  <m:sty m:val="p"/>
                </m:rPr>
                <m:t>&lt;</m:t>
              </m:r>
              <m:r>
                <m:t>0</m:t>
              </m:r>
            </m:oMath>
          </w:p>
        </w:tc>
        <w:tc>
          <w:tcPr/>
          <w:p>
            <w:pPr>
              <w:pStyle w:val="Compact"/>
              <w:jc w:val="left"/>
            </w:pPr>
            <w:r>
              <w:t xml:space="preserve">H1</w:t>
            </w:r>
          </w:p>
        </w:tc>
      </w:tr>
      <w:tr>
        <w:tc>
          <w:tcPr/>
          <w:p>
            <w:pPr>
              <w:pStyle w:val="Compact"/>
              <w:jc w:val="left"/>
            </w:pPr>
            <m:oMath>
              <m:sSup>
                <m:e>
                  <m:r>
                    <m:rPr>
                      <m:nor/>
                      <m:sty m:val="p"/>
                    </m:rPr>
                    <m:t>FSTS</m:t>
                  </m:r>
                </m:e>
                <m:sup>
                  <m:r>
                    <m:t>3</m:t>
                  </m:r>
                </m:sup>
              </m:sSup>
            </m:oMath>
          </w:p>
        </w:tc>
        <w:tc>
          <w:tcPr/>
          <w:p>
            <w:pPr>
              <w:pStyle w:val="Compact"/>
              <w:jc w:val="left"/>
            </w:pPr>
            <w:r>
              <w:t xml:space="preserve">Chữ S</w:t>
            </w:r>
          </w:p>
        </w:tc>
        <w:tc>
          <w:tcPr/>
          <w:p>
            <w:pPr>
              <w:pStyle w:val="Compact"/>
              <w:jc w:val="left"/>
            </w:pPr>
            <w:r>
              <w:t xml:space="preserve">–</w:t>
            </w:r>
          </w:p>
        </w:tc>
        <w:tc>
          <w:tcPr/>
          <w:p>
            <w:pPr>
              <w:pStyle w:val="Compact"/>
              <w:jc w:val="left"/>
            </w:pPr>
            <m:oMath>
              <m:sSup>
                <m:e>
                  <m:d>
                    <m:dPr>
                      <m:begChr m:val="("/>
                      <m:endChr m:val=")"/>
                      <m:sepChr m:val=""/>
                      <m:grow/>
                    </m:dPr>
                    <m:e>
                      <m:sSub>
                        <m:e>
                          <m:r>
                            <m:rPr>
                              <m:nor/>
                              <m:sty m:val="p"/>
                            </m:rPr>
                            <m:t>FSTS</m:t>
                          </m:r>
                        </m:e>
                        <m:sub>
                          <m:r>
                            <m:t>c</m:t>
                          </m:r>
                        </m:sub>
                      </m:sSub>
                    </m:e>
                  </m:d>
                </m:e>
                <m:sup>
                  <m:r>
                    <m:t>3</m:t>
                  </m:r>
                </m:sup>
              </m:sSup>
            </m:oMath>
          </w:p>
        </w:tc>
        <w:tc>
          <w:tcPr/>
          <w:p>
            <w:pPr>
              <w:pStyle w:val="Compact"/>
              <w:jc w:val="left"/>
            </w:pPr>
            <m:oMath>
              <m:sSub>
                <m:e>
                  <m:r>
                    <m:t>β</m:t>
                  </m:r>
                </m:e>
                <m:sub>
                  <m:r>
                    <m:t>3</m:t>
                  </m:r>
                </m:sub>
              </m:sSub>
              <m:r>
                <m:rPr>
                  <m:sty m:val="p"/>
                </m:rPr>
                <m:t>&gt;</m:t>
              </m:r>
              <m:r>
                <m:t>0</m:t>
              </m:r>
            </m:oMath>
          </w:p>
        </w:tc>
        <w:tc>
          <w:tcPr/>
          <w:p>
            <w:pPr>
              <w:pStyle w:val="Compact"/>
              <w:jc w:val="left"/>
            </w:pPr>
            <w:r>
              <w:t xml:space="preserve">H1</w:t>
            </w:r>
          </w:p>
        </w:tc>
      </w:tr>
      <w:tr>
        <w:tc>
          <w:tcPr/>
          <w:p>
            <w:pPr>
              <w:pStyle w:val="Compact"/>
              <w:jc w:val="left"/>
            </w:pPr>
            <w:r>
              <w:t xml:space="preserve">TCI</w:t>
            </w:r>
          </w:p>
        </w:tc>
        <w:tc>
          <w:tcPr/>
          <w:p>
            <w:pPr>
              <w:pStyle w:val="Compact"/>
              <w:jc w:val="left"/>
            </w:pPr>
            <w:r>
              <w:t xml:space="preserve">Năng lực CN nội tại</w:t>
            </w:r>
          </w:p>
        </w:tc>
        <w:tc>
          <w:tcPr/>
          <w:p>
            <w:pPr>
              <w:pStyle w:val="Compact"/>
              <w:jc w:val="left"/>
            </w:pPr>
            <w:r>
              <w:t xml:space="preserve">b8, h8, h1, e6</w:t>
            </w:r>
          </w:p>
        </w:tc>
        <w:tc>
          <w:tcPr/>
          <w:p>
            <w:pPr>
              <w:pStyle w:val="Compact"/>
              <w:jc w:val="left"/>
            </w:pPr>
            <w:r>
              <w:t xml:space="preserve">z-mean ($</w:t>
            </w:r>
            <w:r>
              <w:t xml:space="preserve">$3/4 items)</w:t>
            </w:r>
          </w:p>
        </w:tc>
        <w:tc>
          <w:tcPr/>
          <w:p>
            <w:pPr>
              <w:pStyle w:val="Compact"/>
              <w:jc w:val="left"/>
            </w:pPr>
            <m:oMath>
              <m:r>
                <m:t>β</m:t>
              </m:r>
              <m:r>
                <m:rPr>
                  <m:sty m:val="p"/>
                </m:rPr>
                <m:t>&gt;</m:t>
              </m:r>
              <m:r>
                <m:t>0</m:t>
              </m:r>
            </m:oMath>
            <w:r>
              <w:t xml:space="preserve"> </w:t>
            </w:r>
            <w:r>
              <w:t xml:space="preserve">(trực tiếp)</w:t>
            </w:r>
          </w:p>
        </w:tc>
        <w:tc>
          <w:tcPr/>
          <w:p>
            <w:pPr>
              <w:pStyle w:val="Compact"/>
              <w:jc w:val="left"/>
            </w:pPr>
            <w:r>
              <w:t xml:space="preserve">H2</w:t>
            </w:r>
          </w:p>
        </w:tc>
      </w:tr>
      <w:tr>
        <w:tc>
          <w:tcPr/>
          <w:p>
            <w:pPr>
              <w:pStyle w:val="Compact"/>
              <w:jc w:val="left"/>
            </w:pPr>
            <w:r>
              <w:t xml:space="preserve">DAI</w:t>
            </w:r>
          </w:p>
        </w:tc>
        <w:tc>
          <w:tcPr/>
          <w:p>
            <w:pPr>
              <w:pStyle w:val="Compact"/>
              <w:jc w:val="left"/>
            </w:pPr>
            <w:r>
              <w:t xml:space="preserve">Áp dụng số nền tảng</w:t>
            </w:r>
          </w:p>
        </w:tc>
        <w:tc>
          <w:tcPr/>
          <w:p>
            <w:pPr>
              <w:pStyle w:val="Compact"/>
              <w:jc w:val="left"/>
            </w:pPr>
            <w:r>
              <w:t xml:space="preserve">c22b; k33/k38</w:t>
            </w:r>
          </w:p>
        </w:tc>
        <w:tc>
          <w:tcPr/>
          <w:p>
            <w:pPr>
              <w:pStyle w:val="Compact"/>
              <w:jc w:val="left"/>
            </w:pPr>
            <w:r>
              <w:t xml:space="preserve">z-mean (Bậc 1+2)</w:t>
            </w:r>
          </w:p>
        </w:tc>
        <w:tc>
          <w:tcPr/>
          <w:p>
            <w:pPr>
              <w:pStyle w:val="Compact"/>
              <w:jc w:val="left"/>
            </w:pPr>
            <w:r>
              <w:t xml:space="preserve">Phụ thuộc ngữ cảnh</w:t>
            </w:r>
          </w:p>
        </w:tc>
        <w:tc>
          <w:tcPr/>
          <w:p>
            <w:pPr>
              <w:pStyle w:val="Compact"/>
              <w:jc w:val="left"/>
            </w:pPr>
            <w:r>
              <w:t xml:space="preserve">H3</w:t>
            </w:r>
          </w:p>
        </w:tc>
      </w:tr>
      <w:tr>
        <w:tc>
          <w:tcPr/>
          <w:p>
            <w:pPr>
              <w:pStyle w:val="Compact"/>
              <w:jc w:val="left"/>
            </w:pPr>
            <m:oMath>
              <m:r>
                <m:rPr>
                  <m:nor/>
                  <m:sty m:val="p"/>
                </m:rPr>
                <m:t>FSTS</m:t>
              </m:r>
              <m:r>
                <m:rPr>
                  <m:sty m:val="p"/>
                </m:rPr>
                <m:t>×</m:t>
              </m:r>
              <m:r>
                <m:rPr>
                  <m:nor/>
                  <m:sty m:val="p"/>
                </m:rPr>
                <m:t>TCI</m:t>
              </m:r>
            </m:oMath>
          </w:p>
        </w:tc>
        <w:tc>
          <w:tcPr/>
          <w:p>
            <w:pPr>
              <w:pStyle w:val="Compact"/>
              <w:jc w:val="left"/>
            </w:pPr>
            <w:r>
              <w:t xml:space="preserve">Điều tiết TCI</w:t>
            </w:r>
          </w:p>
        </w:tc>
        <w:tc>
          <w:tcPr/>
          <w:p>
            <w:pPr>
              <w:pStyle w:val="Compact"/>
              <w:jc w:val="left"/>
            </w:pPr>
            <w:r>
              <w:t xml:space="preserve">–</w:t>
            </w:r>
          </w:p>
        </w:tc>
        <w:tc>
          <w:tcPr/>
          <w:p>
            <w:pPr>
              <w:pStyle w:val="Compact"/>
              <w:jc w:val="left"/>
            </w:pPr>
            <w:r>
              <w:t xml:space="preserve">tương tác</w:t>
            </w:r>
          </w:p>
        </w:tc>
        <w:tc>
          <w:tcPr/>
          <w:p>
            <w:pPr>
              <w:pStyle w:val="Compact"/>
              <w:jc w:val="left"/>
            </w:pPr>
            <m:oMath>
              <m:sSub>
                <m:e>
                  <m:r>
                    <m:t>β</m:t>
                  </m:r>
                </m:e>
                <m:sub>
                  <m:r>
                    <m:rPr>
                      <m:nor/>
                      <m:sty m:val="p"/>
                    </m:rPr>
                    <m:t>mod</m:t>
                  </m:r>
                </m:sub>
              </m:sSub>
            </m:oMath>
            <w:r>
              <w:t xml:space="preserve">: phụ thuộc ngữ cảnh</w:t>
            </w:r>
          </w:p>
        </w:tc>
        <w:tc>
          <w:tcPr/>
          <w:p>
            <w:pPr>
              <w:pStyle w:val="Compact"/>
              <w:jc w:val="left"/>
            </w:pPr>
            <w:r>
              <w:t xml:space="preserve">H2</w:t>
            </w:r>
          </w:p>
        </w:tc>
      </w:tr>
      <w:tr>
        <w:tc>
          <w:tcPr/>
          <w:p>
            <w:pPr>
              <w:pStyle w:val="Compact"/>
              <w:jc w:val="left"/>
            </w:pPr>
            <m:oMath>
              <m:sSup>
                <m:e>
                  <m:r>
                    <m:rPr>
                      <m:nor/>
                      <m:sty m:val="p"/>
                    </m:rPr>
                    <m:t>FSTS</m:t>
                  </m:r>
                </m:e>
                <m:sup>
                  <m:r>
                    <m:t>2</m:t>
                  </m:r>
                </m:sup>
              </m:sSup>
              <m:r>
                <m:rPr>
                  <m:sty m:val="p"/>
                </m:rPr>
                <m:t>×</m:t>
              </m:r>
              <m:r>
                <m:rPr>
                  <m:nor/>
                  <m:sty m:val="p"/>
                </m:rPr>
                <m:t>DAI</m:t>
              </m:r>
            </m:oMath>
          </w:p>
        </w:tc>
        <w:tc>
          <w:tcPr/>
          <w:p>
            <w:pPr>
              <w:pStyle w:val="Compact"/>
              <w:jc w:val="left"/>
            </w:pPr>
            <w:r>
              <w:t xml:space="preserve">DAI tình huống</w:t>
            </w:r>
          </w:p>
        </w:tc>
        <w:tc>
          <w:tcPr/>
          <w:p>
            <w:pPr>
              <w:pStyle w:val="Compact"/>
              <w:jc w:val="left"/>
            </w:pPr>
            <w:r>
              <w:t xml:space="preserve">–</w:t>
            </w:r>
          </w:p>
        </w:tc>
        <w:tc>
          <w:tcPr/>
          <w:p>
            <w:pPr>
              <w:pStyle w:val="Compact"/>
              <w:jc w:val="left"/>
            </w:pPr>
            <w:r>
              <w:t xml:space="preserve">tương tác</w:t>
            </w:r>
          </w:p>
        </w:tc>
        <w:tc>
          <w:tcPr/>
          <w:p>
            <w:pPr>
              <w:pStyle w:val="Compact"/>
              <w:jc w:val="left"/>
            </w:pPr>
            <m:oMath>
              <m:r>
                <m:t>β</m:t>
              </m:r>
              <m:r>
                <m:rPr>
                  <m:sty m:val="p"/>
                </m:rPr>
                <m:t>&gt;</m:t>
              </m:r>
              <m:r>
                <m:t>0</m:t>
              </m:r>
            </m:oMath>
            <w:r>
              <w:t xml:space="preserve"> </w:t>
            </w:r>
            <w:r>
              <w:t xml:space="preserve">(Nhóm I); null (Nhóm III, IV)</w:t>
            </w:r>
          </w:p>
        </w:tc>
        <w:tc>
          <w:tcPr/>
          <w:p>
            <w:pPr>
              <w:pStyle w:val="Compact"/>
              <w:jc w:val="left"/>
            </w:pPr>
            <w:r>
              <w:t xml:space="preserve">H3</w:t>
            </w:r>
          </w:p>
        </w:tc>
      </w:tr>
      <w:tr>
        <w:tc>
          <w:tcPr/>
          <w:p>
            <w:pPr>
              <w:pStyle w:val="Compact"/>
              <w:jc w:val="left"/>
            </w:pPr>
            <w:r>
              <w:t xml:space="preserve">exp_manager</w:t>
            </w:r>
          </w:p>
        </w:tc>
        <w:tc>
          <w:tcPr/>
          <w:p>
            <w:pPr>
              <w:pStyle w:val="Compact"/>
              <w:jc w:val="left"/>
            </w:pPr>
            <w:r>
              <w:t xml:space="preserve">Kinh nghiệm QL</w:t>
            </w:r>
          </w:p>
        </w:tc>
        <w:tc>
          <w:tcPr/>
          <w:p>
            <w:pPr>
              <w:pStyle w:val="Compact"/>
              <w:jc w:val="left"/>
            </w:pPr>
            <w:r>
              <w:t xml:space="preserve">b5</w:t>
            </w:r>
          </w:p>
        </w:tc>
        <w:tc>
          <w:tcPr/>
          <w:p>
            <w:pPr>
              <w:pStyle w:val="Compact"/>
              <w:jc w:val="left"/>
            </w:pPr>
            <w:r>
              <w:t xml:space="preserve">năm kinh nghiệm</w:t>
            </w:r>
          </w:p>
        </w:tc>
        <w:tc>
          <w:tcPr/>
          <w:p>
            <w:pPr>
              <w:pStyle w:val="Compact"/>
              <w:jc w:val="left"/>
            </w:pPr>
            <m:oMath>
              <m:r>
                <m:t>β</m:t>
              </m:r>
              <m:r>
                <m:rPr>
                  <m:sty m:val="p"/>
                </m:rPr>
                <m:t>&gt;</m:t>
              </m:r>
              <m:r>
                <m:t>0</m:t>
              </m:r>
            </m:oMath>
            <w:r>
              <w:t xml:space="preserve"> </w:t>
            </w:r>
            <w:r>
              <w:t xml:space="preserve">(</w:t>
            </w:r>
            <m:oMath>
              <m:sSub>
                <m:e>
                  <m:r>
                    <m:t>δ</m:t>
                  </m:r>
                </m:e>
                <m:sub>
                  <m:r>
                    <m:rPr>
                      <m:nor/>
                      <m:sty m:val="p"/>
                    </m:rPr>
                    <m:t>exp</m:t>
                  </m:r>
                </m:sub>
              </m:sSub>
              <m:r>
                <m:rPr>
                  <m:sty m:val="p"/>
                </m:rPr>
                <m:t>&gt;</m:t>
              </m:r>
              <m:r>
                <m:t>0</m:t>
              </m:r>
            </m:oMath>
            <w:r>
              <w:t xml:space="preserve">)</w:t>
            </w:r>
          </w:p>
        </w:tc>
        <w:tc>
          <w:tcPr/>
          <w:p>
            <w:pPr>
              <w:pStyle w:val="Compact"/>
              <w:jc w:val="left"/>
            </w:pPr>
            <w:r>
              <w:t xml:space="preserve">H4a</w:t>
            </w:r>
          </w:p>
        </w:tc>
      </w:tr>
      <w:tr>
        <w:tc>
          <w:tcPr/>
          <w:p>
            <w:pPr>
              <w:pStyle w:val="Compact"/>
              <w:jc w:val="left"/>
            </w:pPr>
            <w:r>
              <w:t xml:space="preserve">educ_manager</w:t>
            </w:r>
          </w:p>
        </w:tc>
        <w:tc>
          <w:tcPr/>
          <w:p>
            <w:pPr>
              <w:pStyle w:val="Compact"/>
              <w:jc w:val="left"/>
            </w:pPr>
            <w:r>
              <w:t xml:space="preserve">Học vấn QL</w:t>
            </w:r>
          </w:p>
        </w:tc>
        <w:tc>
          <w:tcPr/>
          <w:p>
            <w:pPr>
              <w:pStyle w:val="Compact"/>
              <w:jc w:val="left"/>
            </w:pPr>
            <w:r>
              <w:t xml:space="preserve">b7a</w:t>
            </w:r>
          </w:p>
        </w:tc>
        <w:tc>
          <w:tcPr/>
          <w:p>
            <w:pPr>
              <w:pStyle w:val="Compact"/>
              <w:jc w:val="left"/>
            </w:pPr>
            <w:r>
              <w:t xml:space="preserve">thứ tự</w:t>
            </w:r>
          </w:p>
        </w:tc>
        <w:tc>
          <w:tcPr/>
          <w:p>
            <w:pPr>
              <w:pStyle w:val="Compact"/>
              <w:jc w:val="left"/>
            </w:pPr>
            <m:oMath>
              <m:r>
                <m:t>β</m:t>
              </m:r>
              <m:r>
                <m:rPr>
                  <m:sty m:val="p"/>
                </m:rPr>
                <m:t>&gt;</m:t>
              </m:r>
              <m:r>
                <m:t>0</m:t>
              </m:r>
            </m:oMath>
            <w:r>
              <w:t xml:space="preserve"> </w:t>
            </w:r>
            <w:r>
              <w:t xml:space="preserve">(</w:t>
            </w:r>
            <m:oMath>
              <m:sSub>
                <m:e>
                  <m:r>
                    <m:t>δ</m:t>
                  </m:r>
                </m:e>
                <m:sub>
                  <m:r>
                    <m:rPr>
                      <m:nor/>
                      <m:sty m:val="p"/>
                    </m:rPr>
                    <m:t>educ</m:t>
                  </m:r>
                </m:sub>
              </m:sSub>
              <m:r>
                <m:rPr>
                  <m:sty m:val="p"/>
                </m:rPr>
                <m:t>&gt;</m:t>
              </m:r>
              <m:r>
                <m:t>0</m:t>
              </m:r>
            </m:oMath>
            <w:r>
              <w:t xml:space="preserve">)</w:t>
            </w:r>
          </w:p>
        </w:tc>
        <w:tc>
          <w:tcPr/>
          <w:p>
            <w:pPr>
              <w:pStyle w:val="Compact"/>
              <w:jc w:val="left"/>
            </w:pPr>
            <w:r>
              <w:t xml:space="preserve">H4b</w:t>
            </w:r>
          </w:p>
        </w:tc>
      </w:tr>
      <w:tr>
        <w:tc>
          <w:tcPr/>
          <w:p>
            <w:pPr>
              <w:pStyle w:val="Compact"/>
              <w:jc w:val="left"/>
            </w:pPr>
            <w:r>
              <w:t xml:space="preserve">gender_manager</w:t>
            </w:r>
          </w:p>
        </w:tc>
        <w:tc>
          <w:tcPr/>
          <w:p>
            <w:pPr>
              <w:pStyle w:val="Compact"/>
              <w:jc w:val="left"/>
            </w:pPr>
            <w:r>
              <w:t xml:space="preserve">Giới tính QL</w:t>
            </w:r>
          </w:p>
        </w:tc>
        <w:tc>
          <w:tcPr/>
          <w:p>
            <w:pPr>
              <w:pStyle w:val="Compact"/>
              <w:jc w:val="left"/>
            </w:pPr>
            <w:r>
              <w:t xml:space="preserve">b7</w:t>
            </w:r>
          </w:p>
        </w:tc>
        <w:tc>
          <w:tcPr/>
          <w:p>
            <w:pPr>
              <w:pStyle w:val="Compact"/>
              <w:jc w:val="left"/>
            </w:pPr>
            <w:r>
              <w:t xml:space="preserve">binary female=1</w:t>
            </w:r>
          </w:p>
        </w:tc>
        <w:tc>
          <w:tcPr/>
          <w:p>
            <w:pPr>
              <w:pStyle w:val="Compact"/>
              <w:jc w:val="left"/>
            </w:pPr>
            <w:r>
              <w:t xml:space="preserve">Khám phá, hai phía</w:t>
            </w:r>
          </w:p>
        </w:tc>
        <w:tc>
          <w:tcPr/>
          <w:p>
            <w:pPr>
              <w:pStyle w:val="Compact"/>
              <w:jc w:val="left"/>
            </w:pPr>
            <w:r>
              <w:t xml:space="preserve">H4c</w:t>
            </w:r>
          </w:p>
        </w:tc>
      </w:tr>
      <w:tr>
        <w:tc>
          <w:tcPr/>
          <w:p>
            <w:pPr>
              <w:pStyle w:val="Compact"/>
              <w:jc w:val="left"/>
            </w:pPr>
            <m:oMath>
              <m:sSub>
                <m:e>
                  <m:r>
                    <m:rPr>
                      <m:nor/>
                      <m:sty m:val="p"/>
                    </m:rPr>
                    <m:t>ICRV</m:t>
                  </m:r>
                </m:e>
                <m:sub>
                  <m:r>
                    <m:t>j</m:t>
                  </m:r>
                </m:sub>
              </m:sSub>
            </m:oMath>
          </w:p>
        </w:tc>
        <w:tc>
          <w:tcPr/>
          <w:p>
            <w:pPr>
              <w:pStyle w:val="Compact"/>
              <w:jc w:val="left"/>
            </w:pPr>
            <w:r>
              <w:t xml:space="preserve">Chế độ thể chế</w:t>
            </w:r>
          </w:p>
        </w:tc>
        <w:tc>
          <w:tcPr/>
          <w:p>
            <w:pPr>
              <w:pStyle w:val="Compact"/>
              <w:jc w:val="left"/>
            </w:pPr>
            <w:r>
              <w:t xml:space="preserve">–</w:t>
            </w:r>
          </w:p>
        </w:tc>
        <w:tc>
          <w:tcPr/>
          <w:p>
            <w:pPr>
              <w:pStyle w:val="Compact"/>
              <w:jc w:val="left"/>
            </w:pPr>
            <w:r>
              <w:t xml:space="preserve">j = I–VI, biến giả</w:t>
            </w:r>
          </w:p>
        </w:tc>
        <w:tc>
          <w:tcPr/>
          <w:p>
            <w:pPr>
              <w:pStyle w:val="Compact"/>
              <w:jc w:val="left"/>
            </w:pPr>
            <w:r>
              <w:t xml:space="preserve">Phổ H5</w:t>
            </w:r>
          </w:p>
        </w:tc>
        <w:tc>
          <w:tcPr/>
          <w:p>
            <w:pPr>
              <w:pStyle w:val="Compact"/>
              <w:jc w:val="left"/>
            </w:pPr>
            <w:r>
              <w:t xml:space="preserve">H5</w:t>
            </w:r>
          </w:p>
        </w:tc>
      </w:tr>
      <w:tr>
        <w:tc>
          <w:tcPr/>
          <w:p>
            <w:pPr>
              <w:pStyle w:val="Compact"/>
              <w:jc w:val="left"/>
            </w:pPr>
            <w:r>
              <w:t xml:space="preserve">Year_bucket</w:t>
            </w:r>
          </w:p>
        </w:tc>
        <w:tc>
          <w:tcPr/>
          <w:p>
            <w:pPr>
              <w:pStyle w:val="Compact"/>
              <w:jc w:val="left"/>
            </w:pPr>
            <w:r>
              <w:t xml:space="preserve">Thời gian</w:t>
            </w:r>
          </w:p>
        </w:tc>
        <w:tc>
          <w:tcPr/>
          <w:p>
            <w:pPr>
              <w:pStyle w:val="Compact"/>
              <w:jc w:val="left"/>
            </w:pPr>
            <w:r>
              <w:t xml:space="preserve">year</w:t>
            </w:r>
          </w:p>
        </w:tc>
        <w:tc>
          <w:tcPr/>
          <w:p>
            <w:pPr>
              <w:pStyle w:val="Compact"/>
              <w:jc w:val="left"/>
            </w:pPr>
            <w:r>
              <w:t xml:space="preserve">2009–12/13–17/18–25</w:t>
            </w:r>
          </w:p>
        </w:tc>
        <w:tc>
          <w:tcPr/>
          <w:p>
            <w:pPr>
              <w:pStyle w:val="Compact"/>
              <w:jc w:val="left"/>
            </w:pPr>
            <w:r>
              <w:t xml:space="preserve">Dịch chuyển H6</w:t>
            </w:r>
          </w:p>
        </w:tc>
        <w:tc>
          <w:tcPr/>
          <w:p>
            <w:pPr>
              <w:pStyle w:val="Compact"/>
              <w:jc w:val="left"/>
            </w:pPr>
            <w:r>
              <w:t xml:space="preserve">H6</w:t>
            </w:r>
          </w:p>
        </w:tc>
      </w:tr>
      <w:tr>
        <w:tc>
          <w:tcPr/>
          <w:p>
            <w:pPr>
              <w:pStyle w:val="Compact"/>
              <w:jc w:val="left"/>
            </w:pPr>
            <w:r>
              <w:t xml:space="preserve">ln(employees)</w:t>
            </w:r>
          </w:p>
        </w:tc>
        <w:tc>
          <w:tcPr/>
          <w:p>
            <w:pPr>
              <w:pStyle w:val="Compact"/>
              <w:jc w:val="left"/>
            </w:pPr>
            <w:r>
              <w:t xml:space="preserve">Quy mô doanh nghiệp</w:t>
            </w:r>
          </w:p>
        </w:tc>
        <w:tc>
          <w:tcPr/>
          <w:p>
            <w:pPr>
              <w:pStyle w:val="Compact"/>
              <w:jc w:val="left"/>
            </w:pPr>
            <w:r>
              <w:t xml:space="preserve">l1</w:t>
            </w:r>
          </w:p>
        </w:tc>
        <w:tc>
          <w:tcPr/>
          <w:p>
            <w:pPr>
              <w:pStyle w:val="Compact"/>
              <w:jc w:val="left"/>
            </w:pPr>
            <w:r>
              <w:t xml:space="preserve">ln(l1)</w:t>
            </w:r>
          </w:p>
        </w:tc>
        <w:tc>
          <w:tcPr/>
          <w:p>
            <w:pPr>
              <w:pStyle w:val="Compact"/>
              <w:jc w:val="left"/>
            </w:pPr>
            <m:oMath>
              <m:r>
                <m:t>β</m:t>
              </m:r>
              <m:r>
                <m:rPr>
                  <m:sty m:val="p"/>
                </m:rPr>
                <m:t>&gt;</m:t>
              </m:r>
              <m:r>
                <m:t>0</m:t>
              </m:r>
            </m:oMath>
          </w:p>
        </w:tc>
        <w:tc>
          <w:tcPr/>
          <w:p>
            <w:pPr>
              <w:pStyle w:val="Compact"/>
              <w:jc w:val="left"/>
            </w:pPr>
            <w:r>
              <w:t xml:space="preserve">Kiểm soát</w:t>
            </w:r>
          </w:p>
        </w:tc>
      </w:tr>
      <w:tr>
        <w:tc>
          <w:tcPr/>
          <w:p>
            <w:pPr>
              <w:pStyle w:val="Compact"/>
              <w:jc w:val="left"/>
            </w:pPr>
            <w:r>
              <w:t xml:space="preserve">firm_age</w:t>
            </w:r>
          </w:p>
        </w:tc>
        <w:tc>
          <w:tcPr/>
          <w:p>
            <w:pPr>
              <w:pStyle w:val="Compact"/>
              <w:jc w:val="left"/>
            </w:pPr>
            <w:r>
              <w:t xml:space="preserve">Tuổi doanh nghiệp</w:t>
            </w:r>
          </w:p>
        </w:tc>
        <w:tc>
          <w:tcPr/>
          <w:p>
            <w:pPr>
              <w:pStyle w:val="Compact"/>
              <w:jc w:val="left"/>
            </w:pPr>
            <w:r>
              <w:t xml:space="preserve">b6</w:t>
            </w:r>
          </w:p>
        </w:tc>
        <w:tc>
          <w:tcPr/>
          <w:p>
            <w:pPr>
              <w:pStyle w:val="Compact"/>
              <w:jc w:val="left"/>
            </w:pPr>
            <w:r>
              <w:t xml:space="preserve">năm thành lập</w:t>
            </w:r>
          </w:p>
        </w:tc>
        <w:tc>
          <w:tcPr/>
          <w:p>
            <w:pPr>
              <w:pStyle w:val="Compact"/>
              <w:jc w:val="left"/>
            </w:pPr>
            <m:oMath>
              <m:r>
                <m:t>β</m:t>
              </m:r>
            </m:oMath>
            <w:r>
              <w:t xml:space="preserve"> </w:t>
            </w:r>
            <w:r>
              <w:t xml:space="preserve">không xác định</w:t>
            </w:r>
          </w:p>
        </w:tc>
        <w:tc>
          <w:tcPr/>
          <w:p>
            <w:pPr>
              <w:pStyle w:val="Compact"/>
              <w:jc w:val="left"/>
            </w:pPr>
            <w:r>
              <w:t xml:space="preserve">Kiểm soát</w:t>
            </w:r>
          </w:p>
        </w:tc>
      </w:tr>
      <w:tr>
        <w:tc>
          <w:tcPr/>
          <w:p>
            <w:pPr>
              <w:pStyle w:val="Compact"/>
              <w:jc w:val="left"/>
            </w:pPr>
            <w:r>
              <w:t xml:space="preserve">foreign_own</w:t>
            </w:r>
          </w:p>
        </w:tc>
        <w:tc>
          <w:tcPr/>
          <w:p>
            <w:pPr>
              <w:pStyle w:val="Compact"/>
              <w:jc w:val="left"/>
            </w:pPr>
            <w:r>
              <w:t xml:space="preserve">Sở hữu nước ngoài</w:t>
            </w:r>
          </w:p>
        </w:tc>
        <w:tc>
          <w:tcPr/>
          <w:p>
            <w:pPr>
              <w:pStyle w:val="Compact"/>
              <w:jc w:val="left"/>
            </w:pPr>
            <w:r>
              <w:t xml:space="preserve">b2b</w:t>
            </w:r>
          </w:p>
        </w:tc>
        <w:tc>
          <w:tcPr/>
          <w:p>
            <w:pPr>
              <w:pStyle w:val="Compact"/>
              <w:jc w:val="left"/>
            </w:pPr>
            <w:r>
              <w:t xml:space="preserve">$</w:t>
            </w:r>
            <w:r>
              <w:t xml:space="preserve">$10% = 1</w:t>
            </w:r>
          </w:p>
        </w:tc>
        <w:tc>
          <w:tcPr/>
          <w:p>
            <w:pPr>
              <w:pStyle w:val="Compact"/>
              <w:jc w:val="left"/>
            </w:pPr>
            <m:oMath>
              <m:r>
                <m:t>β</m:t>
              </m:r>
              <m:r>
                <m:rPr>
                  <m:sty m:val="p"/>
                </m:rPr>
                <m:t>&gt;</m:t>
              </m:r>
              <m:r>
                <m:t>0</m:t>
              </m:r>
            </m:oMath>
          </w:p>
        </w:tc>
        <w:tc>
          <w:tcPr/>
          <w:p>
            <w:pPr>
              <w:pStyle w:val="Compact"/>
              <w:jc w:val="left"/>
            </w:pPr>
            <w:r>
              <w:t xml:space="preserve">Kiểm soát</w:t>
            </w:r>
          </w:p>
        </w:tc>
      </w:tr>
    </w:tbl>
    <w:p>
      <w:pPr>
        <w:pStyle w:val="BodyText"/>
      </w:pPr>
      <w:r>
        <w:t xml:space="preserve">Ghi chú đo lường: TCI là tổng hợp formative từ: chứng nhận ISO (b8=1), R&amp;D (h8=1), đổi mới sản phẩm (h1=1), công nghệ nước ngoài có bản quyền (e6=1). Yêu cầu ≥3/4 items không thiếu; z-chuẩn hóa trong mỗi sóng. DAI_z_full (Bậc 1+2): z-mean(c22b + k33 + k38) chỉ có trong lược đồ BEE (2019 trở đi). DAI_z_tier1 (Bậc 1): z-mean(c22b) có xuyên tất cả lược đồ. FSTS được tính trung tâm theo mean trong mỗi ô quốc gia-sóng trước khi tính FSTS² để giảm đa cộng tuyến.</w:t>
      </w:r>
    </w:p>
    <w:bookmarkEnd w:id="52"/>
    <w:bookmarkEnd w:id="53"/>
    <w:bookmarkStart w:id="62" w:name="hệ-giả-thuyết-nghiên-cứu-h1h6"/>
    <w:p>
      <w:pPr>
        <w:pStyle w:val="Heading4"/>
      </w:pPr>
      <w:r>
        <w:t xml:space="preserve">2.3.4 Hệ giả thuyết nghiên cứu (H1–H6)</w:t>
      </w:r>
    </w:p>
    <w:bookmarkStart w:id="54" w:name="tổng-quan-và-logic-phát-triển-giả-thuyết"/>
    <w:p>
      <w:pPr>
        <w:pStyle w:val="Heading5"/>
      </w:pPr>
      <w:r>
        <w:t xml:space="preserve">Tổng quan và logic phát triển giả thuyết</w:t>
      </w:r>
    </w:p>
    <w:p>
      <w:pPr>
        <w:pStyle w:val="FirstParagraph"/>
      </w:pPr>
      <w:r>
        <w:t xml:space="preserve">Hệ giả thuyết H1–H6 được phát triển từ khung lý thuyết tích hợp và bằng chứng thực nghiệm từ tài liệu, với neo đậu trong ba bản thảo đồng hành P3–P5. Bốn nguyên tắc phát triển giả thuyết: cụ thể hóa dự đoán dấu; neo đậu thực nghiệm từ ít nhất một bằng chứng P3/P4/P5 hoặc tổng quan định lượng; phân biệt giả thuyết xác nhận và khám phá; liên kết với CDCM.</w:t>
      </w:r>
    </w:p>
    <w:p>
      <w:pPr>
        <w:pStyle w:val="BodyText"/>
      </w:pPr>
      <w:r>
        <w:t xml:space="preserve">H1–H3 và H5 là xác nhận (dấu rõ, ≥2 bằng chứng neo đậu từ P3/P4/P5). H4a–H4b và H6 là hỗn hợp xác nhận/khám phá (hướng rõ nhưng độ lớn khám phá). H4c là hoàn toàn khám phá (hai phía, không có dấu tiên nghiệm).</w:t>
      </w:r>
    </w:p>
    <w:bookmarkEnd w:id="54"/>
    <w:bookmarkStart w:id="55" w:name="X8a9e88460ae4e1b85cd12a03beef213b73b6d78"/>
    <w:p>
      <w:pPr>
        <w:pStyle w:val="Heading5"/>
      </w:pPr>
      <w:r>
        <w:t xml:space="preserve">H1: Phi tuyến trong quan hệ quốc tế hóa và hiệu quả</w:t>
      </w:r>
    </w:p>
    <w:p>
      <w:pPr>
        <w:pStyle w:val="FirstParagraph"/>
      </w:pPr>
      <w:r>
        <w:t xml:space="preserve">Cơ sở lý thuyết: Mô hình Uppsala (Johanson &amp; Vahlne, 1977) đề xuất quốc tế hóa diễn ra theo ba giai đoạn với tốc độ và đặc điểm chi phí-lợi ích khác nhau. Contractor và cộng sự (2003) và Lu và Beamish (2004) hình thức hóa ba giai đoạn thành đường cong chữ S: giai đoạn học tập tốn kém; giai đoạn hái quả; giai đoạn quá mức. Với các doanh nghiệp vừa và nhỏ châu Á trong WBES, giai đoạn đầu ngắn, do đó dạng chữ U ngược (H1 bậc hai, M1) có thể mạnh hơn chữ S đầy đủ (H1 bậc ba, M2).</w:t>
      </w:r>
    </w:p>
    <w:p>
      <w:pPr>
        <w:pStyle w:val="BodyText"/>
      </w:pPr>
      <w:r>
        <w:t xml:space="preserve">Điểm uốn và chính sự tồn tại của chữ U ngược khác nhau theo chế độ thể chế: trên khung 50 nền, chữ U ngược định hình rõ nét và tin cậy nhất ở Nhóm IV (điểm uốn 43,0%, trùng các ước lượng đơn quốc gia Việt Nam 39–46% và Ấn Độ 40,7%); ở Nhóm I đường cong duỗi thẳng gần tuyến tính dương (điểm uốn ngoài miền dữ liệu, trùng Singapore); ở Nhóm V quan hệ mất ý nghĩa thống kê và Nhóm VI không có chữ U ngược (~50–55%). Nhóm VI có khuôn mẫu gánh nặng bắt buộc, không có chữ U ngược điển hình. Lưu ý: P4 Singapore (TP ~88,6%) là ngoại lệ đơn quốc gia với LM p = 0,303 (không có ý nghĩa), không đại diện cho mẫu Nhóm I trong P7.</w:t>
      </w:r>
    </w:p>
    <w:p>
      <w:pPr>
        <w:pStyle w:val="BodyText"/>
      </w:pPr>
      <w:r>
        <w:t xml:space="preserve">Bằng chứng neo đậu: P3 Việt Nam (Nhóm IV): Lind–Mehlum p &lt; 0,001 (tổng hợp), điểm uốn 39–46%. P5 Trung Quốc (Nhóm III): Lind–Mehlum xác nhận hai sóng, điểm uốn 47–49%. P4 Singapore (Nhóm I): Lind–Mehlum p = 0,303, chủ yếu dương, điểm uốn ~88,6% (gần trần).</w:t>
      </w:r>
    </w:p>
    <w:p>
      <w:pPr>
        <w:pStyle w:val="BodyText"/>
      </w:pPr>
      <w:r>
        <w:t xml:space="preserve">H1: Quan hệ giữa cường độ quốc tế hóa (FSTS) và hiệu quả hoạt động kinh doanh của doanh nghiệp (ln LP) có dạng phi tuyến, với β₁(FSTS) &gt; 0 và β₂(FSTS²) &lt; 0, phản ánh chữ U ngược ở phần lớn các chế độ ICRV. Điểm uốn</w:t>
      </w:r>
      <w:r>
        <w:t xml:space="preserve"> </w:t>
      </w:r>
      <w:r>
        <w:rPr>
          <w:bCs/>
          <w:b/>
        </w:rPr>
        <w:t xml:space="preserve">giảm</w:t>
      </w:r>
      <w:r>
        <w:t xml:space="preserve"> </w:t>
      </w:r>
      <w:r>
        <w:t xml:space="preserve">theo phổ thể chế ICRV:</w:t>
      </w:r>
      <w:r>
        <w:t xml:space="preserve"> </w:t>
      </w:r>
      <w:r>
        <w:rPr>
          <w:bCs/>
          <w:b/>
        </w:rPr>
        <w:t xml:space="preserve">thấp nhất ở Nhóm I (~28%)</w:t>
      </w:r>
      <w:r>
        <w:t xml:space="preserve">, tăng dần qua Nhóm III (~47–49%) sang Nhóm IV (~39–46%) sang Nhóm V (~50–55%), với Nhóm VI có khuôn mẫu gánh nặng bắt buộc (không có điểm uốn). Thể chế càng mạnh, doanh nghiệp đạt đỉnh hiệu suất xuất khẩu ở mức cường độ thấp hơn.</w:t>
      </w:r>
    </w:p>
    <w:p>
      <w:pPr>
        <w:pStyle w:val="BodyText"/>
      </w:pPr>
      <w:r>
        <w:t xml:space="preserve">Cơ chế biên tham gia (của H1): Bước chuyển từ không xuất khẩu (FSTS = 0) sang xuất khẩu (FSTS &gt; 0) tạo ra mức tăng năng suất lao động đáng kể và dương, tác động tham gia thị trường xuất khẩu là động lực chính của hiệu ứng quốc tế hóa và hiệu quả.</w:t>
      </w:r>
    </w:p>
    <w:p>
      <w:pPr>
        <w:pStyle w:val="BodyText"/>
      </w:pPr>
      <w:r>
        <w:t xml:space="preserve">Cơ chế biên cường độ (của H1, gần phẳng): Trong mẫu chỉ gồm doanh nghiệp xuất khẩu, đường cong quốc tế hóa và hiệu quả gần phẳng, tức là sau khi đã xuất khẩu, việc tăng cường độ tiếp theo không tạo thêm nhiều lợi ích năng suất nếu không có TCI và DAI đủ mạnh.</w:t>
      </w:r>
    </w:p>
    <w:bookmarkEnd w:id="55"/>
    <w:bookmarkStart w:id="56" w:name="h2-tci-điều-tiết-tích-cực-nâng-mặt-bằng"/>
    <w:p>
      <w:pPr>
        <w:pStyle w:val="Heading5"/>
      </w:pPr>
      <w:r>
        <w:t xml:space="preserve">H2: TCI điều tiết tích cực (nâng mặt bằng)</w:t>
      </w:r>
    </w:p>
    <w:p>
      <w:pPr>
        <w:pStyle w:val="FirstParagraph"/>
      </w:pPr>
      <w:r>
        <w:t xml:space="preserve">Cơ sở lý thuyết: lý thuyết dựa trên nguồn lực (Barney, 1991) cho rằng nguồn lực VRIN tạo lợi thế cạnh tranh bền vững. TCI, năng lực công nghệ nội tại, là nguồn lực VRIN theo Lall (1992) và tích lũy năng lực hấp thụ theo Cohen và Levinthal (1990). Doanh nghiệp có TCI cao: hấp thụ tri thức từ thị trường nước ngoài hiệu quả hơn; có công nghệ sản xuất tiên tiến hơn, năng suất cao hơn ở mọi mức FSTS; và có thể duy trì hiệu quả ở FSTS cao hơn. Cơ chế chính là nâng mặt bằng (level-shift), nâng toàn bộ đường cong LP, không nhất thiết thay đổi vị trí điểm uốn.</w:t>
      </w:r>
    </w:p>
    <w:p>
      <w:pPr>
        <w:pStyle w:val="BodyText"/>
      </w:pPr>
      <w:r>
        <w:t xml:space="preserve">Bằng chứng neo đậu: P3 Việt Nam: β(TCI) = 0,179 (p &lt; 0,001) bền vững 3 sóng; biến công cụ cho β(TCI) = 1,639 (p &lt; 0,001, F bậc một = 22,1), TCI là nhân quả. P5 Trung Quốc: β_z(TCI) tăng từ +0,260 (2012) sang +0,426 (2024), Paternoster z = −2,55 (p = 0,011), TCI nâng mặt bằng tăng cường theo thời gian. P4 Singapore: β(TCI) = +0,153 (p &lt; 0,01), không điều tiết độ cong, TCI là nâng mặt bằng thuần túy trong Nhóm I.</w:t>
      </w:r>
    </w:p>
    <w:p>
      <w:pPr>
        <w:pStyle w:val="BodyText"/>
      </w:pPr>
      <w:r>
        <w:t xml:space="preserve">H2: Chỉ số năng lực công nghệ (TCI) có mối quan hệ dương trực tiếp với hiệu quả hoạt động kinh doanh của doanh nghiệp (β(TCI) &gt; 0) và nâng mặt bằng ln(LP) của toàn bộ đường cong quốc tế hóa và hiệu quả (hiệu ứng nâng mặt bằng). Tác động điều tiết của TCI lên độ cong của đường cong là câu hỏi thực nghiệm mở và được kiểm định như H2 khám phá trong M3.</w:t>
      </w:r>
    </w:p>
    <w:bookmarkEnd w:id="56"/>
    <w:bookmarkStart w:id="57" w:name="X1c9c953fc89a4348f4f643e69b0c33ec6bd1f9d"/>
    <w:p>
      <w:pPr>
        <w:pStyle w:val="Heading5"/>
      </w:pPr>
      <w:r>
        <w:t xml:space="preserve">H3a–H3b: DAI điều tiết phụ thuộc chế độ thể chế (CDCM)</w:t>
      </w:r>
    </w:p>
    <w:p>
      <w:pPr>
        <w:pStyle w:val="FirstParagraph"/>
      </w:pPr>
      <w:r>
        <w:t xml:space="preserve">Cơ sở lý thuyết: Banalieva và Dhanaraj (2019) và Verhoef và cộng sự (2021) đề xuất DAI làm giảm khoảng cách tâm lý và chi phí giao dịch xuyên biên giới. Tuy nhiên, CDCM cho thấy tác động này không đồng nhất mà phụ thuộc vào ba chiều ngữ cảnh đã mô tả.</w:t>
      </w:r>
    </w:p>
    <w:p>
      <w:pPr>
        <w:pStyle w:val="BodyText"/>
      </w:pPr>
      <w:r>
        <w:t xml:space="preserve">TCI hoạt động như cơ chế đào sâu nguồn lực (nội tại, tích lũy theo thời gian, khó bắt chước), trong khi DAI hoạt động như cơ chế áp dụng phụ thuộc (ngoại tại, phụ thuộc hệ sinh thái số). Coltman và cộng sự (2008) xác nhận hai cấu trúc thỏa mãn tiêu chí tổng hợp formative riêng biệt.</w:t>
      </w:r>
    </w:p>
    <w:p>
      <w:pPr>
        <w:pStyle w:val="BodyText"/>
      </w:pPr>
      <w:r>
        <w:t xml:space="preserve">Bằng chứng neo đậu: P4 Singapore: FSTS²×DAI = +3,119 (p = 0,005), DAI mở rộng tình huống có điều kiện. P3 Việt Nam: biến công cụ null β = 0,018 (p = 0,942), OLS dương = phụ thuộc chọn lựa, không nhân quả. P5 Trung Quốc: không điều tiết độ cong.</w:t>
      </w:r>
    </w:p>
    <w:p>
      <w:pPr>
        <w:pStyle w:val="BodyText"/>
      </w:pPr>
      <w:r>
        <w:t xml:space="preserve">Bảng 2.6. CDCM, Dự đoán tác động DAI theo 3 chiều ngữ cảnh.</w:t>
      </w:r>
    </w:p>
    <w:tbl>
      <w:tblPr>
        <w:tblStyle w:val="Table"/>
        <w:tblW w:type="pct" w:w="5000"/>
        <w:tblLook w:firstRow="1" w:lastRow="0" w:firstColumn="0" w:lastColumn="0" w:noHBand="0" w:noVBand="0" w:val="0020"/>
        <w:jc w:val="start"/>
      </w:tblPr>
      <w:tblGrid>
        <w:gridCol w:w="1627"/>
        <w:gridCol w:w="1084"/>
        <w:gridCol w:w="1193"/>
        <w:gridCol w:w="976"/>
        <w:gridCol w:w="2169"/>
        <w:gridCol w:w="867"/>
      </w:tblGrid>
      <w:tr>
        <w:trPr>
          <w:tblHeader w:val="true"/>
        </w:trPr>
        <w:tc>
          <w:tcPr/>
          <w:p>
            <w:pPr>
              <w:pStyle w:val="Compact"/>
              <w:jc w:val="left"/>
            </w:pPr>
            <w:r>
              <w:t xml:space="preserve">Chế độ (ICRV)</w:t>
            </w:r>
          </w:p>
        </w:tc>
        <w:tc>
          <w:tcPr/>
          <w:p>
            <w:pPr>
              <w:pStyle w:val="Compact"/>
              <w:jc w:val="left"/>
            </w:pPr>
            <w:r>
              <w:t xml:space="preserve">Mức FSTS</w:t>
            </w:r>
          </w:p>
        </w:tc>
        <w:tc>
          <w:tcPr/>
          <w:p>
            <w:pPr>
              <w:pStyle w:val="Compact"/>
              <w:jc w:val="left"/>
            </w:pPr>
            <w:r>
              <w:t xml:space="preserve">Bão hòa số</w:t>
            </w:r>
          </w:p>
        </w:tc>
        <w:tc>
          <w:tcPr/>
          <w:p>
            <w:pPr>
              <w:pStyle w:val="Compact"/>
              <w:jc w:val="left"/>
            </w:pPr>
            <w:r>
              <w:t xml:space="preserve">DAI OLS</w:t>
            </w:r>
          </w:p>
        </w:tc>
        <w:tc>
          <w:tcPr/>
          <w:p>
            <w:pPr>
              <w:pStyle w:val="Compact"/>
              <w:jc w:val="left"/>
            </w:pPr>
            <w:r>
              <w:t xml:space="preserve">DAI nhân quả (IV)</w:t>
            </w:r>
          </w:p>
        </w:tc>
        <w:tc>
          <w:tcPr/>
          <w:p>
            <w:pPr>
              <w:pStyle w:val="Compact"/>
              <w:jc w:val="left"/>
            </w:pPr>
            <w:r>
              <w:t xml:space="preserve">Cơ chế</w:t>
            </w:r>
          </w:p>
        </w:tc>
      </w:tr>
      <w:tr>
        <w:tc>
          <w:tcPr/>
          <w:p>
            <w:pPr>
              <w:pStyle w:val="Compact"/>
              <w:jc w:val="left"/>
            </w:pPr>
            <w:r>
              <w:t xml:space="preserve">Nhóm I (Singapore)</w:t>
            </w:r>
          </w:p>
        </w:tc>
        <w:tc>
          <w:tcPr/>
          <w:p>
            <w:pPr>
              <w:pStyle w:val="Compact"/>
              <w:jc w:val="left"/>
            </w:pPr>
            <w:r>
              <w:t xml:space="preserve">Cao (&gt;50%)</w:t>
            </w:r>
          </w:p>
        </w:tc>
        <w:tc>
          <w:tcPr/>
          <w:p>
            <w:pPr>
              <w:pStyle w:val="Compact"/>
              <w:jc w:val="left"/>
            </w:pPr>
            <w:r>
              <w:t xml:space="preserve">Bão hòa (&gt;65%)</w:t>
            </w:r>
          </w:p>
        </w:tc>
        <w:tc>
          <w:tcPr/>
          <w:p>
            <w:pPr>
              <w:pStyle w:val="Compact"/>
              <w:jc w:val="left"/>
            </w:pPr>
            <w:r>
              <w:t xml:space="preserve">Null trực tiếp;</w:t>
            </w:r>
            <w:r>
              <w:t xml:space="preserve"> </w:t>
            </w:r>
            <m:oMath>
              <m:sSup>
                <m:e>
                  <m:r>
                    <m:rPr>
                      <m:nor/>
                      <m:sty m:val="p"/>
                    </m:rPr>
                    <m:t>FSTS</m:t>
                  </m:r>
                </m:e>
                <m:sup>
                  <m:r>
                    <m:t>2</m:t>
                  </m:r>
                </m:sup>
              </m:sSup>
              <m:r>
                <m:rPr>
                  <m:sty m:val="p"/>
                </m:rPr>
                <m:t>×</m:t>
              </m:r>
              <m:r>
                <m:rPr>
                  <m:nor/>
                  <m:sty m:val="p"/>
                </m:rPr>
                <m:t>DAI</m:t>
              </m:r>
              <m:r>
                <m:rPr>
                  <m:sty m:val="p"/>
                </m:rPr>
                <m:t>=</m:t>
              </m:r>
              <m:r>
                <m:rPr>
                  <m:sty m:val="p"/>
                </m:rPr>
                <m:t>+</m:t>
              </m:r>
              <m:r>
                <m:t>3</m:t>
              </m:r>
              <m:r>
                <m:rPr>
                  <m:sty m:val="p"/>
                </m:rPr>
                <m:t>,</m:t>
              </m:r>
              <m:r>
                <m:t>119</m:t>
              </m:r>
            </m:oMath>
          </w:p>
        </w:tc>
        <w:tc>
          <w:tcPr/>
          <w:p>
            <w:pPr>
              <w:pStyle w:val="Compact"/>
              <w:jc w:val="left"/>
            </w:pPr>
            <w:r>
              <w:t xml:space="preserve">(không cần IV)</w:t>
            </w:r>
          </w:p>
        </w:tc>
        <w:tc>
          <w:tcPr/>
          <w:p>
            <w:pPr>
              <w:pStyle w:val="Compact"/>
              <w:jc w:val="left"/>
            </w:pPr>
            <w:r>
              <w:t xml:space="preserve">Mở rộng tình huống ở nhu cầu điều phối cao</w:t>
            </w:r>
          </w:p>
        </w:tc>
      </w:tr>
      <w:tr>
        <w:tc>
          <w:tcPr/>
          <w:p>
            <w:pPr>
              <w:pStyle w:val="Compact"/>
              <w:jc w:val="left"/>
            </w:pPr>
            <w:r>
              <w:t xml:space="preserve">Nhóm III (Trung Quốc)</w:t>
            </w:r>
          </w:p>
        </w:tc>
        <w:tc>
          <w:tcPr/>
          <w:p>
            <w:pPr>
              <w:pStyle w:val="Compact"/>
              <w:jc w:val="left"/>
            </w:pPr>
            <w:r>
              <w:t xml:space="preserve">Trung bình (20–50%)</w:t>
            </w:r>
          </w:p>
        </w:tc>
        <w:tc>
          <w:tcPr/>
          <w:p>
            <w:pPr>
              <w:pStyle w:val="Compact"/>
              <w:jc w:val="left"/>
            </w:pPr>
            <w:r>
              <w:t xml:space="preserve">Trung bình–cao (&gt;55%)</w:t>
            </w:r>
          </w:p>
        </w:tc>
        <w:tc>
          <w:tcPr/>
          <w:p>
            <w:pPr>
              <w:pStyle w:val="Compact"/>
              <w:jc w:val="left"/>
            </w:pPr>
            <w:r>
              <w:t xml:space="preserve">Null/kiểm soát</w:t>
            </w:r>
          </w:p>
        </w:tc>
        <w:tc>
          <w:tcPr/>
          <w:p>
            <w:pPr>
              <w:pStyle w:val="Compact"/>
              <w:jc w:val="left"/>
            </w:pPr>
            <w:r>
              <w:t xml:space="preserve">Null (Bậc 1 mất tín hiệu phân biệt)</w:t>
            </w:r>
          </w:p>
        </w:tc>
        <w:tc>
          <w:tcPr/>
          <w:p>
            <w:pPr>
              <w:pStyle w:val="Compact"/>
              <w:jc w:val="left"/>
            </w:pPr>
            <w:r>
              <w:t xml:space="preserve">Bậc 1 bão hòa</w:t>
            </w:r>
          </w:p>
        </w:tc>
      </w:tr>
      <w:tr>
        <w:tc>
          <w:tcPr/>
          <w:p>
            <w:pPr>
              <w:pStyle w:val="Compact"/>
              <w:jc w:val="left"/>
            </w:pPr>
            <w:r>
              <w:t xml:space="preserve">Nhóm IV (Việt Nam)</w:t>
            </w:r>
          </w:p>
        </w:tc>
        <w:tc>
          <w:tcPr/>
          <w:p>
            <w:pPr>
              <w:pStyle w:val="Compact"/>
              <w:jc w:val="left"/>
            </w:pPr>
            <w:r>
              <w:t xml:space="preserve">Thấp–trung bình (&lt;40%)</w:t>
            </w:r>
          </w:p>
        </w:tc>
        <w:tc>
          <w:tcPr/>
          <w:p>
            <w:pPr>
              <w:pStyle w:val="Compact"/>
              <w:jc w:val="left"/>
            </w:pPr>
            <w:r>
              <w:t xml:space="preserve">Trung bình (&lt;55%)</w:t>
            </w:r>
          </w:p>
        </w:tc>
        <w:tc>
          <w:tcPr/>
          <w:p>
            <w:pPr>
              <w:pStyle w:val="Compact"/>
              <w:jc w:val="left"/>
            </w:pPr>
            <w:r>
              <w:t xml:space="preserve">Dương nhỏ (0,095–0,175)</w:t>
            </w:r>
          </w:p>
        </w:tc>
        <w:tc>
          <w:tcPr/>
          <w:p>
            <w:pPr>
              <w:pStyle w:val="Compact"/>
              <w:jc w:val="left"/>
            </w:pPr>
            <w:r>
              <w:t xml:space="preserve">Null (</w:t>
            </w:r>
            <m:oMath>
              <m:r>
                <m:t>β</m:t>
              </m:r>
              <m:r>
                <m:rPr>
                  <m:sty m:val="p"/>
                </m:rPr>
                <m:t>=</m:t>
              </m:r>
              <m:r>
                <m:t>0</m:t>
              </m:r>
              <m:r>
                <m:rPr>
                  <m:sty m:val="p"/>
                </m:rPr>
                <m:t>,</m:t>
              </m:r>
              <m:r>
                <m:t>018</m:t>
              </m:r>
            </m:oMath>
            <w:r>
              <w:t xml:space="preserve">; F bậc một = 34,6)</w:t>
            </w:r>
          </w:p>
        </w:tc>
        <w:tc>
          <w:tcPr/>
          <w:p>
            <w:pPr>
              <w:pStyle w:val="Compact"/>
              <w:jc w:val="left"/>
            </w:pPr>
            <w:r>
              <w:t xml:space="preserve">Phụ thuộc chọn lựa</w:t>
            </w:r>
          </w:p>
        </w:tc>
      </w:tr>
      <w:tr>
        <w:tc>
          <w:tcPr/>
          <w:p>
            <w:pPr>
              <w:pStyle w:val="Compact"/>
              <w:jc w:val="left"/>
            </w:pPr>
            <w:r>
              <w:t xml:space="preserve">Nhóm V (Đang nổi)</w:t>
            </w:r>
          </w:p>
        </w:tc>
        <w:tc>
          <w:tcPr/>
          <w:p>
            <w:pPr>
              <w:pStyle w:val="Compact"/>
              <w:jc w:val="left"/>
            </w:pPr>
            <w:r>
              <w:t xml:space="preserve">Thấp (&lt;20%)</w:t>
            </w:r>
          </w:p>
        </w:tc>
        <w:tc>
          <w:tcPr/>
          <w:p>
            <w:pPr>
              <w:pStyle w:val="Compact"/>
              <w:jc w:val="left"/>
            </w:pPr>
            <w:r>
              <w:t xml:space="preserve">Thấp (&lt;30%)</w:t>
            </w:r>
          </w:p>
        </w:tc>
        <w:tc>
          <w:tcPr/>
          <w:p>
            <w:pPr>
              <w:pStyle w:val="Compact"/>
              <w:jc w:val="left"/>
            </w:pPr>
            <w:r>
              <w:t xml:space="preserve">Không xác định</w:t>
            </w:r>
          </w:p>
        </w:tc>
        <w:tc>
          <w:tcPr/>
          <w:p>
            <w:pPr>
              <w:pStyle w:val="Compact"/>
              <w:jc w:val="left"/>
            </w:pPr>
            <w:r>
              <w:t xml:space="preserve">Cần IV</w:t>
            </w:r>
          </w:p>
        </w:tc>
        <w:tc>
          <w:tcPr/>
          <w:p>
            <w:pPr>
              <w:pStyle w:val="Compact"/>
              <w:jc w:val="left"/>
            </w:pPr>
            <w:r>
              <w:t xml:space="preserve">Hạ tầng số thiếu</w:t>
            </w:r>
          </w:p>
        </w:tc>
      </w:tr>
      <w:tr>
        <w:tc>
          <w:tcPr/>
          <w:p>
            <w:pPr>
              <w:pStyle w:val="Compact"/>
              <w:jc w:val="left"/>
            </w:pPr>
            <w:r>
              <w:t xml:space="preserve">Nhóm VI (SIDS)</w:t>
            </w:r>
          </w:p>
        </w:tc>
        <w:tc>
          <w:tcPr/>
          <w:p>
            <w:pPr>
              <w:pStyle w:val="Compact"/>
              <w:jc w:val="left"/>
            </w:pPr>
            <w:r>
              <w:t xml:space="preserve">Cao do bắt buộc (&gt;40%)</w:t>
            </w:r>
          </w:p>
        </w:tc>
        <w:tc>
          <w:tcPr/>
          <w:p>
            <w:pPr>
              <w:pStyle w:val="Compact"/>
              <w:jc w:val="left"/>
            </w:pPr>
            <w:r>
              <w:t xml:space="preserve">Thấp–trung</w:t>
            </w:r>
          </w:p>
        </w:tc>
        <w:tc>
          <w:tcPr/>
          <w:p>
            <w:pPr>
              <w:pStyle w:val="Compact"/>
              <w:jc w:val="left"/>
            </w:pPr>
            <w:r>
              <w:t xml:space="preserve">Gánh nặng bắt buộc trội</w:t>
            </w:r>
          </w:p>
        </w:tc>
        <w:tc>
          <w:tcPr/>
          <w:p>
            <w:pPr>
              <w:pStyle w:val="Compact"/>
              <w:jc w:val="left"/>
            </w:pPr>
            <w:r>
              <w:t xml:space="preserve">–</w:t>
            </w:r>
          </w:p>
        </w:tc>
        <w:tc>
          <w:tcPr/>
          <w:p>
            <w:pPr>
              <w:pStyle w:val="Compact"/>
              <w:jc w:val="left"/>
            </w:pPr>
            <w:r>
              <w:t xml:space="preserve">I–P gánh nặng bắt buộc che lấp tín hiệu DAI</w:t>
            </w:r>
          </w:p>
        </w:tc>
      </w:tr>
    </w:tbl>
    <w:p>
      <w:pPr>
        <w:pStyle w:val="BodyText"/>
      </w:pPr>
      <w:r>
        <w:t xml:space="preserve">H3: Mức độ áp dụng số (DAI) có cơ chế điều tiết</w:t>
      </w:r>
      <w:r>
        <w:t xml:space="preserve"> </w:t>
      </w:r>
      <w:r>
        <w:rPr>
          <w:bCs/>
          <w:b/>
        </w:rPr>
        <w:t xml:space="preserve">phụ thuộc chế độ thể chế</w:t>
      </w:r>
      <w:r>
        <w:t xml:space="preserve"> </w:t>
      </w:r>
      <w:r>
        <w:t xml:space="preserve">trong quan hệ quốc tế hóa và hiệu quả. DAI không hoạt động như một phần thưởng năng suất đồng nhất mà như một nguồn lực mở rộng tình huống theo CDCM, với hướng và cường độ khác nhau rõ ràng giữa Emerging/Frontier và Advanced. Hai giả thuyết con phân biệt dấu kỳ vọng:</w:t>
      </w:r>
    </w:p>
    <w:p>
      <w:pPr>
        <w:pStyle w:val="BodyText"/>
      </w:pPr>
      <w:r>
        <w:rPr>
          <w:bCs/>
          <w:b/>
        </w:rPr>
        <w:t xml:space="preserve">H3a</w:t>
      </w:r>
      <w:r>
        <w:t xml:space="preserve"> </w:t>
      </w:r>
      <w:r>
        <w:t xml:space="preserve">(các nền đang nổi và chuyển đổi, Nhóm III–V): Trong các nền kinh tế này, DAI điều tiết tích cực quan hệ FSTS sang ln(LP): β(FSTS×DAI) &gt; 0 và/hoặc β(FSTS²×DAI) &gt; 0 trong ước lượng OLS. Cơ chế: DAI giảm khoảng cách tâm lý, mở rộng tiếp cận thị trường ảo, và tăng năng lực điều phối ở những bối cảnh mà website presence vẫn là tín hiệu phân biệt (chưa bão hòa). Tuy nhiên, kiểm định bằng biến công cụ tại Nhóm IV (Việt Nam) cho kết quả null (β = 0,018; p = 0,942), OLS dương phản ánh phụ thuộc chọn lựa, không nhân quả. H3a do đó là giả thuyết có điều kiện, cần kiểm định nhân quả để xác nhận.</w:t>
      </w:r>
    </w:p>
    <w:p>
      <w:pPr>
        <w:pStyle w:val="BodyText"/>
      </w:pPr>
      <w:r>
        <w:rPr>
          <w:bCs/>
          <w:b/>
        </w:rPr>
        <w:t xml:space="preserve">H3b</w:t>
      </w:r>
      <w:r>
        <w:t xml:space="preserve"> </w:t>
      </w:r>
      <w:r>
        <w:t xml:space="preserve">(Advanced, Nhóm I–II): Trong các nền kinh tế tiên tiến, tác động trực tiếp không điều kiện của DAI lên ln(LP) có thể null hoặc âm do bão hòa số và single-component measurement (chỉ website binary, Bậc 1 proxy, không phản ánh đầy đủ năng lực số). Tuy nhiên, tác động điều tiết điều kiện β(FSTS²×DAI) vẫn dương ở mức FSTS cao nơi nhu cầu điều phối xuyên biên giới cao (bằng chứng neo đậu: P4 Singapore β(FSTS²×DAI) = +3,119, p = 0,005).</w:t>
      </w:r>
    </w:p>
    <w:p>
      <w:pPr>
        <w:pStyle w:val="BodyText"/>
      </w:pPr>
      <w:r>
        <w:t xml:space="preserve">TCI và DAI là hai cấu trúc phân biệt và không thể thay thế nhau trong cả hai giả thuyết con (giả thuyết tính phân biệt CDCM, H3c: β(TCI) ≠ β(DAI) và hai cấu trúc thỏa mãn tiêu chí discriminant validity).</w:t>
      </w:r>
    </w:p>
    <w:bookmarkEnd w:id="57"/>
    <w:bookmarkStart w:id="58" w:name="h4ah4c-đặc-điểm-nhà-quản-trị-điều-tiết"/>
    <w:p>
      <w:pPr>
        <w:pStyle w:val="Heading5"/>
      </w:pPr>
      <w:r>
        <w:t xml:space="preserve">H4a–H4c: Đặc điểm nhà quản trị điều tiết</w:t>
      </w:r>
    </w:p>
    <w:p>
      <w:pPr>
        <w:pStyle w:val="FirstParagraph"/>
      </w:pPr>
      <w:r>
        <w:t xml:space="preserve">Cơ sở lý thuyết: lý thuyết thượng tầng quản trị (Hambrick &amp; Mason, 1984; Hambrick, 2007) cho rằng quyết định chiến lược phản ánh đặc điểm nhân khẩu học của nhà quản trị cấp cao, bao gồm kinh nghiệm, học vấn, và giới tính. Cơ chế điều tiết hoạt động qua hai kênh: chất lượng quyết định (tránh quốc tế hóa sớm ở FSTS thấp) và năng lực điều phối (quản lý phức tạp đa thị trường ở FSTS cao). Trong bối cảnh WBES, ba biến đại diện có sẵn: số năm kinh nghiệm quản lý (b5), trình độ học vấn (b7a), và giới tính nhà quản trị cấp cao (b7).</w:t>
      </w:r>
    </w:p>
    <w:p>
      <w:pPr>
        <w:pStyle w:val="BodyText"/>
      </w:pPr>
      <w:r>
        <w:t xml:space="preserve">Ba giả thuyết con được tách biệt theo đặc điểm và dấu kỳ vọng:</w:t>
      </w:r>
    </w:p>
    <w:p>
      <w:pPr>
        <w:pStyle w:val="BodyText"/>
      </w:pPr>
      <w:r>
        <w:rPr>
          <w:bCs/>
          <w:b/>
        </w:rPr>
        <w:t xml:space="preserve">H4a</w:t>
      </w:r>
      <w:r>
        <w:t xml:space="preserve">: Kinh nghiệm quản lý tổng thể điều tiết tích cực quan hệ FSTS sang ln(LP): β(FSTS×exp_manager) &gt; 0. Nhà quản trị nhiều kinh nghiệm chuyển hóa quốc tế hóa thành hiệu quả tốt hơn thông qua khả năng nhận diện cơ hội thị trường và tránh bẫy tăng trưởng quá mức (δ_exp &gt; 0).</w:t>
      </w:r>
    </w:p>
    <w:p>
      <w:pPr>
        <w:pStyle w:val="BodyText"/>
      </w:pPr>
      <w:r>
        <w:rPr>
          <w:bCs/>
          <w:b/>
        </w:rPr>
        <w:t xml:space="preserve">H4b</w:t>
      </w:r>
      <w:r>
        <w:t xml:space="preserve">: Học vấn nhà quản trị, đại diện cho năng lực nhận thức và khả năng tiếp thu kinh nghiệm quốc tế, điều tiết tích cực quan hệ FSTS sang ln(LP): β(FSTS×educ_manager) &gt; 0. Nhà quản trị học vấn cao có khung nhận thức rộng hơn để xử lý sự phức tạp thông tin trong quản lý đa thị trường (δ_educ &gt; 0). Lưu ý: WBES (b7a) không đo trực tiếp kinh nghiệm quốc tế; học vấn được dùng như biến đại diện cho năng lực tư duy vượt biên giới (cognitive international readiness).</w:t>
      </w:r>
    </w:p>
    <w:p>
      <w:pPr>
        <w:pStyle w:val="BodyText"/>
      </w:pPr>
      <w:r>
        <w:rPr>
          <w:bCs/>
          <w:b/>
        </w:rPr>
        <w:t xml:space="preserve">H4c</w:t>
      </w:r>
      <w:r>
        <w:t xml:space="preserve">: Giới tính nữ của nhà quản trị cấp cao (gender_manager = 1), kiểm định khám phá, không đặt dấu kỳ vọng tiên nghiệm; kiểm định hai phía. Bằng chứng trong tài liệu lý thuyết thượng tầng quản trị không đồng nhất về chiều hướng cho châu Á (Hambrick, 2007); H4c vì vậy là khám phá.</w:t>
      </w:r>
    </w:p>
    <w:p>
      <w:pPr>
        <w:pStyle w:val="BodyText"/>
      </w:pPr>
      <w:r>
        <w:t xml:space="preserve">Phạm vi kiểm định: H4a–H4b là biến đại diện (proxy) cho cơ chế lý thuyết thượng tầng quản trị, kết quả là chỉ báo gián tiếp, không phải kiểm định trực tiếp cấu trúc lý thuyết gốc. Hạn chế này cần được thừa nhận rõ trong phần thảo luận kết quả.</w:t>
      </w:r>
    </w:p>
    <w:bookmarkEnd w:id="58"/>
    <w:bookmarkStart w:id="59" w:name="Xdc105cdbc1f44bae5408ec2aee9fc7cd8005d15"/>
    <w:p>
      <w:pPr>
        <w:pStyle w:val="Heading5"/>
      </w:pPr>
      <w:r>
        <w:t xml:space="preserve">H5: Thể chế ICRV điều tiết theo phổ thể chế</w:t>
      </w:r>
    </w:p>
    <w:p>
      <w:pPr>
        <w:pStyle w:val="FirstParagraph"/>
      </w:pPr>
      <w:r>
        <w:t xml:space="preserve">Cơ sở lý thuyết: lý thuyết thể chế (North, 1990; Khanna &amp; Palepu, 2010) cho rằng thể chế quy định chi phí giao dịch, rủi ro hợp đồng, và khả năng tiếp cận thị trường, tất cả ảnh hưởng đến hiệu quả của quốc tế hóa. Ba cơ chế độc lập giải thích tại sao thể chế tốt hơn tạo ra điểm uốn cao hơn: (A) thực thi hợp đồng, giảm chi phí đại diện trong chuỗi cung ứng quốc tế; (B) phát triển thị trường tài chính, cho phép huy động vốn cho vốn lưu động quốc tế; (C) chất lượng quy định, giảm gánh nặng tuân thủ cho doanh nghiệp xuất khẩu. Kafouros và cộng sự (2023) ước tính: 1% cải thiện trong WGI Regulatory Quality tương đương với +2–3% FSTS trong điểm uốn.</w:t>
      </w:r>
    </w:p>
    <w:p>
      <w:pPr>
        <w:pStyle w:val="BodyText"/>
      </w:pPr>
      <w:r>
        <w:t xml:space="preserve">Dự đoán điểm uốn theo nhóm ICRV:</w:t>
      </w:r>
    </w:p>
    <w:tbl>
      <w:tblPr>
        <w:tblStyle w:val="Table"/>
        <w:tblW w:type="pct" w:w="5000"/>
        <w:tblLook w:firstRow="1" w:lastRow="0" w:firstColumn="0" w:lastColumn="0" w:noHBand="0" w:noVBand="0" w:val="0020"/>
        <w:jc w:val="start"/>
      </w:tblPr>
      <w:tblGrid>
        <w:gridCol w:w="2420"/>
        <w:gridCol w:w="3960"/>
        <w:gridCol w:w="1540"/>
      </w:tblGrid>
      <w:tr>
        <w:trPr>
          <w:tblHeader w:val="true"/>
        </w:trPr>
        <w:tc>
          <w:tcPr/>
          <w:p>
            <w:pPr>
              <w:pStyle w:val="Compact"/>
              <w:jc w:val="left"/>
            </w:pPr>
            <w:r>
              <w:t xml:space="preserve">ICRV Nhóm</w:t>
            </w:r>
          </w:p>
        </w:tc>
        <w:tc>
          <w:tcPr/>
          <w:p>
            <w:pPr>
              <w:pStyle w:val="Compact"/>
              <w:jc w:val="left"/>
            </w:pPr>
            <w:r>
              <w:t xml:space="preserve">Điểm uốn dự kiến</w:t>
            </w:r>
          </w:p>
        </w:tc>
        <w:tc>
          <w:tcPr/>
          <w:p>
            <w:pPr>
              <w:pStyle w:val="Compact"/>
              <w:jc w:val="left"/>
            </w:pPr>
            <w:r>
              <w:t xml:space="preserve">Cơ sở</w:t>
            </w:r>
          </w:p>
        </w:tc>
      </w:tr>
      <w:tr>
        <w:tc>
          <w:tcPr/>
          <w:p>
            <w:pPr>
              <w:pStyle w:val="Compact"/>
              <w:jc w:val="left"/>
            </w:pPr>
            <w:r>
              <w:t xml:space="preserve">Nhóm I (tiên tiến đổi mới)</w:t>
            </w:r>
          </w:p>
        </w:tc>
        <w:tc>
          <w:tcPr/>
          <w:p>
            <w:pPr>
              <w:pStyle w:val="Compact"/>
              <w:jc w:val="left"/>
            </w:pPr>
            <w:r>
              <w:rPr>
                <w:bCs/>
                <w:b/>
              </w:rPr>
              <w:t xml:space="preserve">gần tuyến tính dương; điểm uốn ngoài miền dữ liệu</w:t>
            </w:r>
          </w:p>
        </w:tc>
        <w:tc>
          <w:tcPr/>
          <w:p>
            <w:pPr>
              <w:pStyle w:val="Compact"/>
              <w:jc w:val="left"/>
            </w:pPr>
            <w:r>
              <w:t xml:space="preserve">P7 50 nền: TP gộp M5 = 43,6% (N=79.080; M2 N=81.022); trong Nhóm I đường cong không định hình (LM p = ,30), nhất quán P4 Singapore (TP ~88,6%, LM p = ,303, không có ý nghĩa)</w:t>
            </w:r>
          </w:p>
        </w:tc>
      </w:tr>
      <w:tr>
        <w:tc>
          <w:tcPr/>
          <w:p>
            <w:pPr>
              <w:pStyle w:val="Compact"/>
              <w:jc w:val="left"/>
            </w:pPr>
            <w:r>
              <w:t xml:space="preserve">Nhóm II (tiên tiến tài nguyên)</w:t>
            </w:r>
          </w:p>
        </w:tc>
        <w:tc>
          <w:tcPr/>
          <w:p>
            <w:pPr>
              <w:pStyle w:val="Compact"/>
              <w:jc w:val="left"/>
            </w:pPr>
            <w:r>
              <w:t xml:space="preserve">Chữ U ngược ở biên ý nghĩa (~62%)</w:t>
            </w:r>
          </w:p>
        </w:tc>
        <w:tc>
          <w:tcPr/>
          <w:p>
            <w:pPr>
              <w:pStyle w:val="Compact"/>
              <w:jc w:val="left"/>
            </w:pPr>
            <w:r>
              <w:t xml:space="preserve">Kết quả 50 nền: TP 62,0%, LM p = ,081</w:t>
            </w:r>
          </w:p>
        </w:tc>
      </w:tr>
      <w:tr>
        <w:tc>
          <w:tcPr/>
          <w:p>
            <w:pPr>
              <w:pStyle w:val="Compact"/>
              <w:jc w:val="left"/>
            </w:pPr>
            <w:r>
              <w:t xml:space="preserve">Nhóm III (trung bình cao)</w:t>
            </w:r>
          </w:p>
        </w:tc>
        <w:tc>
          <w:tcPr/>
          <w:p>
            <w:pPr>
              <w:pStyle w:val="Compact"/>
              <w:jc w:val="left"/>
            </w:pPr>
            <w:r>
              <w:t xml:space="preserve">Không xác định ở cấp nhóm; ~47–49% ở Trung Quốc</w:t>
            </w:r>
          </w:p>
        </w:tc>
        <w:tc>
          <w:tcPr/>
          <w:p>
            <w:pPr>
              <w:pStyle w:val="Compact"/>
              <w:jc w:val="left"/>
            </w:pPr>
            <w:r>
              <w:t xml:space="preserve">Kết quả 50 nền: LM p = ,26; P5 Trung Quốc TP 47–49%***</w:t>
            </w:r>
          </w:p>
        </w:tc>
      </w:tr>
      <w:tr>
        <w:tc>
          <w:tcPr/>
          <w:p>
            <w:pPr>
              <w:pStyle w:val="Compact"/>
              <w:jc w:val="left"/>
            </w:pPr>
            <w:r>
              <w:t xml:space="preserve">Nhóm IV (chuyển đổi TB-thấp)</w:t>
            </w:r>
          </w:p>
        </w:tc>
        <w:tc>
          <w:tcPr/>
          <w:p>
            <w:pPr>
              <w:pStyle w:val="Compact"/>
              <w:jc w:val="left"/>
            </w:pPr>
            <w:r>
              <w:t xml:space="preserve">~35–46% FSTS</w:t>
            </w:r>
          </w:p>
        </w:tc>
        <w:tc>
          <w:tcPr/>
          <w:p>
            <w:pPr>
              <w:pStyle w:val="Compact"/>
              <w:jc w:val="left"/>
            </w:pPr>
            <w:r>
              <w:t xml:space="preserve">P3 Việt Nam TP 39–46%</w:t>
            </w:r>
          </w:p>
        </w:tc>
      </w:tr>
      <w:tr>
        <w:tc>
          <w:tcPr/>
          <w:p>
            <w:pPr>
              <w:pStyle w:val="Compact"/>
              <w:jc w:val="left"/>
            </w:pPr>
            <w:r>
              <w:t xml:space="preserve">Nhóm V (đang nổi)</w:t>
            </w:r>
          </w:p>
        </w:tc>
        <w:tc>
          <w:tcPr/>
          <w:p>
            <w:pPr>
              <w:pStyle w:val="Compact"/>
              <w:jc w:val="left"/>
            </w:pPr>
            <w:r>
              <w:t xml:space="preserve">Quan hệ mất cấu trúc, không xác định</w:t>
            </w:r>
          </w:p>
        </w:tc>
        <w:tc>
          <w:tcPr/>
          <w:p>
            <w:pPr>
              <w:pStyle w:val="Compact"/>
              <w:jc w:val="left"/>
            </w:pPr>
            <w:r>
              <w:t xml:space="preserve">Kết quả 50 nền: LM p = ,18; khoảng trống thể chế làm phần thưởng nhỏ và bất định</w:t>
            </w:r>
          </w:p>
        </w:tc>
      </w:tr>
      <w:tr>
        <w:tc>
          <w:tcPr/>
          <w:p>
            <w:pPr>
              <w:pStyle w:val="Compact"/>
              <w:jc w:val="left"/>
            </w:pPr>
            <w:r>
              <w:t xml:space="preserve">Nhóm VI (SIDS)</w:t>
            </w:r>
          </w:p>
        </w:tc>
        <w:tc>
          <w:tcPr/>
          <w:p>
            <w:pPr>
              <w:pStyle w:val="Compact"/>
              <w:jc w:val="left"/>
            </w:pPr>
            <w:r>
              <w:t xml:space="preserve">Không có TP / gánh nặng bắt buộc</w:t>
            </w:r>
          </w:p>
        </w:tc>
        <w:tc>
          <w:tcPr/>
          <w:p>
            <w:pPr>
              <w:pStyle w:val="Compact"/>
              <w:jc w:val="left"/>
            </w:pPr>
            <w:r>
              <w:t xml:space="preserve">Quốc tế hóa bắt buộc</w:t>
            </w:r>
          </w:p>
        </w:tc>
      </w:tr>
    </w:tbl>
    <w:p>
      <w:pPr>
        <w:pStyle w:val="BodyText"/>
      </w:pPr>
      <w:r>
        <w:t xml:space="preserve">H5: Hiệu ứng điều tiết của chế độ thể chế (ICRV) lên quan hệ quốc tế hóa và hiệu quả có dạng ba vùng: chữ U ngược định hình rõ ở vùng giữa phổ thể chế (Nhóm IV, điểm uốn 43,0%); duỗi thẳng gần tuyến tính dương ở biên trên (Nhóm I–II); mất cấu trúc ở biên dưới (Nhóm V không ý nghĩa; Nhóm VI có khuôn mẫu gánh nặng bắt buộc). Thể chế càng mạnh; ở biên trên phổ thể chế, chi phí giao dịch thấp và năng lực điều phối cao đẩy nhánh đi xuống ra ngoài miền quan sát thay vì tạo đỉnh sớm hơn.</w:t>
      </w:r>
    </w:p>
    <w:bookmarkEnd w:id="59"/>
    <w:bookmarkStart w:id="60" w:name="h6-tính-không-đồng-nhất-theo-thời-gian"/>
    <w:p>
      <w:pPr>
        <w:pStyle w:val="Heading5"/>
      </w:pPr>
      <w:r>
        <w:t xml:space="preserve">H6: Tính không đồng nhất theo thời gian</w:t>
      </w:r>
    </w:p>
    <w:p>
      <w:pPr>
        <w:pStyle w:val="FirstParagraph"/>
      </w:pPr>
      <w:r>
        <w:t xml:space="preserve">Cơ sở lý thuyết: Wu, Wood và Khan (2022) tổng hợp 20 năm bằng chứng và tìm thấy các dịch chuyển thời gian đáng kể trong quốc tế hóa và hiệu quả. Ba giai đoạn trong dữ liệu có đặc điểm bối cảnh khác nhau rõ ràng: 2009–2012 (hậu khủng hoảng tài chính, hạ tầng số sơ khai ở châu Á); 2013–2017 (phục hồi chuỗi giá trị toàn cầu, bùng nổ Internet di động, thương mại điện tử lan rộng); 2018–2025 (chuyển đổi số + AI bùng nổ, COVID-19, tái cấu hình chuỗi cung ứng).</w:t>
      </w:r>
    </w:p>
    <w:p>
      <w:pPr>
        <w:pStyle w:val="BodyText"/>
      </w:pPr>
      <w:r>
        <w:t xml:space="preserve">Bằng chứng neo đậu: P3 Việt Nam: Paternoster z = 3,353 giữa 2009 và 2015 (p &lt; 0,001), quan hệ quốc tế hóa và hiệu quả dịch chuyển đáng kể. P5 Trung Quốc: TCI Paternoster p = 0,011, hiệu ứng TCI tăng cường 2012 xuống 2024. P5 Trung Quốc: FSTS Paternoster p = 0,545, điểm uốn ổn định (bền vững cấu trúc H2b xác nhận).</w:t>
      </w:r>
    </w:p>
    <w:p>
      <w:pPr>
        <w:pStyle w:val="BodyText"/>
      </w:pPr>
      <w:r>
        <w:t xml:space="preserve">H6: Tác động của quốc tế hóa lên hiệu quả hoạt động kinh doanh của doanh nghiệp thể hiện tính không đồng nhất theo thời gian: β(FSTS×Year_bucket) và β(FSTS²×Year_bucket) khác nhau có ý nghĩa thống kê giữa ba giai đoạn 2009–2012, 2013–2017, và 2018–2025. Cụ thể: tác động TCI tăng cường theo thời gian; tác động DAI biến thiên theo giai đoạn; điểm uốn có thể dịch chuyển trong một số nhóm ICRV nhưng ổn định trong các nhóm khác.</w:t>
      </w:r>
    </w:p>
    <w:bookmarkEnd w:id="60"/>
    <w:bookmarkStart w:id="61" w:name="tổng-hợp-hệ-giả-thuyết"/>
    <w:p>
      <w:pPr>
        <w:pStyle w:val="Heading5"/>
      </w:pPr>
      <w:r>
        <w:t xml:space="preserve">Tổng hợp hệ giả thuyết</w:t>
      </w:r>
    </w:p>
    <w:p>
      <w:pPr>
        <w:pStyle w:val="FirstParagraph"/>
      </w:pPr>
      <w:r>
        <w:t xml:space="preserve">Bảng 2.5. Hệ giả thuyết H1–H6, tóm tắt cơ chế, biến, kỳ vọng, và bằng chứng neo đậu.</w:t>
      </w:r>
    </w:p>
    <w:tbl>
      <w:tblPr>
        <w:tblStyle w:val="Table"/>
        <w:tblW w:type="pct" w:w="5000"/>
        <w:tblLook w:firstRow="1" w:lastRow="0" w:firstColumn="0" w:lastColumn="0" w:noHBand="0" w:noVBand="0" w:val="0020"/>
        <w:jc w:val="start"/>
      </w:tblPr>
      <w:tblGrid>
        <w:gridCol w:w="642"/>
        <w:gridCol w:w="535"/>
        <w:gridCol w:w="1819"/>
        <w:gridCol w:w="1712"/>
        <w:gridCol w:w="963"/>
        <w:gridCol w:w="2247"/>
      </w:tblGrid>
      <w:tr>
        <w:trPr>
          <w:tblHeader w:val="true"/>
        </w:trPr>
        <w:tc>
          <w:tcPr/>
          <w:p>
            <w:pPr>
              <w:pStyle w:val="Compact"/>
              <w:jc w:val="left"/>
            </w:pPr>
            <w:r>
              <w:t xml:space="preserve">Giả thuyết</w:t>
            </w:r>
          </w:p>
        </w:tc>
        <w:tc>
          <w:tcPr/>
          <w:p>
            <w:pPr>
              <w:pStyle w:val="Compact"/>
              <w:jc w:val="left"/>
            </w:pPr>
            <w:r>
              <w:t xml:space="preserve">Tên</w:t>
            </w:r>
          </w:p>
        </w:tc>
        <w:tc>
          <w:tcPr/>
          <w:p>
            <w:pPr>
              <w:pStyle w:val="Compact"/>
              <w:jc w:val="left"/>
            </w:pPr>
            <w:r>
              <w:t xml:space="preserve">Cơ chế lý thuyết</w:t>
            </w:r>
          </w:p>
        </w:tc>
        <w:tc>
          <w:tcPr/>
          <w:p>
            <w:pPr>
              <w:pStyle w:val="Compact"/>
              <w:jc w:val="left"/>
            </w:pPr>
            <w:r>
              <w:t xml:space="preserve">Biến kiểm định</w:t>
            </w:r>
          </w:p>
        </w:tc>
        <w:tc>
          <w:tcPr/>
          <w:p>
            <w:pPr>
              <w:pStyle w:val="Compact"/>
              <w:jc w:val="left"/>
            </w:pPr>
            <w:r>
              <w:t xml:space="preserve">Kỳ vọng</w:t>
            </w:r>
          </w:p>
        </w:tc>
        <w:tc>
          <w:tcPr/>
          <w:p>
            <w:pPr>
              <w:pStyle w:val="Compact"/>
              <w:jc w:val="left"/>
            </w:pPr>
            <w:r>
              <w:t xml:space="preserve">Bằng chứng P3/P4/P5</w:t>
            </w:r>
          </w:p>
        </w:tc>
      </w:tr>
      <w:tr>
        <w:tc>
          <w:tcPr/>
          <w:p>
            <w:pPr>
              <w:pStyle w:val="Compact"/>
              <w:jc w:val="left"/>
            </w:pPr>
            <w:r>
              <w:t xml:space="preserve">H1</w:t>
            </w:r>
          </w:p>
        </w:tc>
        <w:tc>
          <w:tcPr/>
          <w:p>
            <w:pPr>
              <w:pStyle w:val="Compact"/>
              <w:jc w:val="left"/>
            </w:pPr>
            <w:r>
              <w:t xml:space="preserve">Phi tuyến I–P</w:t>
            </w:r>
          </w:p>
        </w:tc>
        <w:tc>
          <w:tcPr/>
          <w:p>
            <w:pPr>
              <w:pStyle w:val="Compact"/>
              <w:jc w:val="left"/>
            </w:pPr>
            <w:r>
              <w:t xml:space="preserve">Uppsala 3 giai đoạn; chi phí phối hợp</w:t>
            </w:r>
          </w:p>
        </w:tc>
        <w:tc>
          <w:tcPr/>
          <w:p>
            <w:pPr>
              <w:pStyle w:val="Compact"/>
              <w:jc w:val="left"/>
            </w:pPr>
            <w:r>
              <w:t xml:space="preserve">FSTS,</w:t>
            </w:r>
            <w:r>
              <w:t xml:space="preserve"> </w:t>
            </w:r>
            <m:oMath>
              <m:sSup>
                <m:e>
                  <m:r>
                    <m:rPr>
                      <m:nor/>
                      <m:sty m:val="p"/>
                    </m:rPr>
                    <m:t>FSTS</m:t>
                  </m:r>
                </m:e>
                <m:sup>
                  <m:r>
                    <m:t>2</m:t>
                  </m:r>
                </m:sup>
              </m:sSup>
            </m:oMath>
            <w:r>
              <w:t xml:space="preserve">,</w:t>
            </w:r>
            <w:r>
              <w:t xml:space="preserve"> </w:t>
            </w:r>
            <m:oMath>
              <m:sSup>
                <m:e>
                  <m:r>
                    <m:rPr>
                      <m:nor/>
                      <m:sty m:val="p"/>
                    </m:rPr>
                    <m:t>FSTS</m:t>
                  </m:r>
                </m:e>
                <m:sup>
                  <m:r>
                    <m:t>3</m:t>
                  </m:r>
                </m:sup>
              </m:sSup>
            </m:oMath>
          </w:p>
        </w:tc>
        <w:tc>
          <w:tcPr/>
          <w:p>
            <w:pPr>
              <w:pStyle w:val="Compact"/>
              <w:jc w:val="left"/>
            </w:pPr>
            <m:oMath>
              <m:sSub>
                <m:e>
                  <m:r>
                    <m:t>β</m:t>
                  </m:r>
                </m:e>
                <m:sub>
                  <m:r>
                    <m:t>1</m:t>
                  </m:r>
                </m:sub>
              </m:sSub>
              <m:r>
                <m:rPr>
                  <m:sty m:val="p"/>
                </m:rPr>
                <m:t>&gt;</m:t>
              </m:r>
              <m:r>
                <m:t>0</m:t>
              </m:r>
            </m:oMath>
            <w:r>
              <w:t xml:space="preserve">;</w:t>
            </w:r>
            <w:r>
              <w:t xml:space="preserve"> </w:t>
            </w:r>
            <m:oMath>
              <m:sSub>
                <m:e>
                  <m:r>
                    <m:t>β</m:t>
                  </m:r>
                </m:e>
                <m:sub>
                  <m:r>
                    <m:t>2</m:t>
                  </m:r>
                </m:sub>
              </m:sSub>
              <m:r>
                <m:rPr>
                  <m:sty m:val="p"/>
                </m:rPr>
                <m:t>&lt;</m:t>
              </m:r>
              <m:r>
                <m:t>0</m:t>
              </m:r>
            </m:oMath>
          </w:p>
        </w:tc>
        <w:tc>
          <w:tcPr/>
          <w:p>
            <w:pPr>
              <w:pStyle w:val="Compact"/>
              <w:jc w:val="left"/>
            </w:pPr>
            <w:r>
              <w:t xml:space="preserve">P3 TP 39–46%; P5 TP 47–49%</w:t>
            </w:r>
          </w:p>
        </w:tc>
      </w:tr>
      <w:tr>
        <w:tc>
          <w:tcPr/>
          <w:p>
            <w:pPr>
              <w:pStyle w:val="Compact"/>
              <w:jc w:val="left"/>
            </w:pPr>
            <w:r>
              <w:t xml:space="preserve">H2</w:t>
            </w:r>
          </w:p>
        </w:tc>
        <w:tc>
          <w:tcPr/>
          <w:p>
            <w:pPr>
              <w:pStyle w:val="Compact"/>
              <w:jc w:val="left"/>
            </w:pPr>
            <w:r>
              <w:t xml:space="preserve">TCI nâng mặt bằng</w:t>
            </w:r>
          </w:p>
        </w:tc>
        <w:tc>
          <w:tcPr/>
          <w:p>
            <w:pPr>
              <w:pStyle w:val="Compact"/>
              <w:jc w:val="left"/>
            </w:pPr>
            <w:r>
              <w:t xml:space="preserve">RBV năng lực hấp thụ</w:t>
            </w:r>
          </w:p>
        </w:tc>
        <w:tc>
          <w:tcPr/>
          <w:p>
            <w:pPr>
              <w:pStyle w:val="Compact"/>
              <w:jc w:val="left"/>
            </w:pPr>
            <w:r>
              <w:t xml:space="preserve">TCI,</w:t>
            </w:r>
            <w:r>
              <w:t xml:space="preserve"> </w:t>
            </w:r>
            <m:oMath>
              <m:r>
                <m:rPr>
                  <m:nor/>
                  <m:sty m:val="p"/>
                </m:rPr>
                <m:t>FSTS</m:t>
              </m:r>
              <m:r>
                <m:rPr>
                  <m:sty m:val="p"/>
                </m:rPr>
                <m:t>×</m:t>
              </m:r>
              <m:r>
                <m:rPr>
                  <m:nor/>
                  <m:sty m:val="p"/>
                </m:rPr>
                <m:t>TCI</m:t>
              </m:r>
            </m:oMath>
          </w:p>
        </w:tc>
        <w:tc>
          <w:tcPr/>
          <w:p>
            <w:pPr>
              <w:pStyle w:val="Compact"/>
              <w:jc w:val="left"/>
            </w:pPr>
            <m:oMath>
              <m:r>
                <m:t>β</m:t>
              </m:r>
              <m:d>
                <m:dPr>
                  <m:begChr m:val="("/>
                  <m:endChr m:val=")"/>
                  <m:sepChr m:val=""/>
                  <m:grow/>
                </m:dPr>
                <m:e>
                  <m:r>
                    <m:rPr>
                      <m:nor/>
                      <m:sty m:val="p"/>
                    </m:rPr>
                    <m:t>TCI</m:t>
                  </m:r>
                </m:e>
              </m:d>
              <m:r>
                <m:rPr>
                  <m:sty m:val="p"/>
                </m:rPr>
                <m:t>&gt;</m:t>
              </m:r>
              <m:r>
                <m:t>0</m:t>
              </m:r>
            </m:oMath>
            <w:r>
              <w:t xml:space="preserve">; độ cong: khám phá</w:t>
            </w:r>
          </w:p>
        </w:tc>
        <w:tc>
          <w:tcPr/>
          <w:p>
            <w:pPr>
              <w:pStyle w:val="Compact"/>
              <w:jc w:val="left"/>
            </w:pPr>
            <w:r>
              <w:t xml:space="preserve">P3 IV nhân quả; P5 +0,260 đến +0,426</w:t>
            </w:r>
          </w:p>
        </w:tc>
      </w:tr>
      <w:tr>
        <w:tc>
          <w:tcPr/>
          <w:p>
            <w:pPr>
              <w:pStyle w:val="Compact"/>
              <w:jc w:val="left"/>
            </w:pPr>
            <w:r>
              <w:t xml:space="preserve">H3a</w:t>
            </w:r>
          </w:p>
        </w:tc>
        <w:tc>
          <w:tcPr/>
          <w:p>
            <w:pPr>
              <w:pStyle w:val="Compact"/>
              <w:jc w:val="left"/>
            </w:pPr>
            <w:r>
              <w:t xml:space="preserve">DAI nhóm đang nổi/chuyển đổi (+)</w:t>
            </w:r>
          </w:p>
        </w:tc>
        <w:tc>
          <w:tcPr/>
          <w:p>
            <w:pPr>
              <w:pStyle w:val="Compact"/>
              <w:jc w:val="left"/>
            </w:pPr>
            <w:r>
              <w:t xml:space="preserve">CDCM × Digital Adoption Lens</w:t>
            </w:r>
          </w:p>
        </w:tc>
        <w:tc>
          <w:tcPr/>
          <w:p>
            <w:pPr>
              <w:pStyle w:val="Compact"/>
              <w:jc w:val="left"/>
            </w:pPr>
            <w:r>
              <w:t xml:space="preserve">DAI,</w:t>
            </w:r>
            <w:r>
              <w:t xml:space="preserve"> </w:t>
            </w:r>
            <m:oMath>
              <m:r>
                <m:rPr>
                  <m:nor/>
                  <m:sty m:val="p"/>
                </m:rPr>
                <m:t>FSTS</m:t>
              </m:r>
              <m:r>
                <m:rPr>
                  <m:sty m:val="p"/>
                </m:rPr>
                <m:t>×</m:t>
              </m:r>
              <m:r>
                <m:rPr>
                  <m:nor/>
                  <m:sty m:val="p"/>
                </m:rPr>
                <m:t>DAI</m:t>
              </m:r>
            </m:oMath>
          </w:p>
        </w:tc>
        <w:tc>
          <w:tcPr/>
          <w:p>
            <w:pPr>
              <w:pStyle w:val="Compact"/>
              <w:jc w:val="left"/>
            </w:pPr>
            <m:oMath>
              <m:r>
                <m:t>β</m:t>
              </m:r>
              <m:d>
                <m:dPr>
                  <m:begChr m:val="("/>
                  <m:endChr m:val=")"/>
                  <m:sepChr m:val=""/>
                  <m:grow/>
                </m:dPr>
                <m:e>
                  <m:r>
                    <m:rPr>
                      <m:nor/>
                      <m:sty m:val="p"/>
                    </m:rPr>
                    <m:t>FSTS</m:t>
                  </m:r>
                  <m:r>
                    <m:rPr>
                      <m:sty m:val="p"/>
                    </m:rPr>
                    <m:t>×</m:t>
                  </m:r>
                  <m:r>
                    <m:rPr>
                      <m:nor/>
                      <m:sty m:val="p"/>
                    </m:rPr>
                    <m:t>DAI</m:t>
                  </m:r>
                </m:e>
              </m:d>
              <m:r>
                <m:rPr>
                  <m:sty m:val="p"/>
                </m:rPr>
                <m:t>&gt;</m:t>
              </m:r>
              <m:r>
                <m:t>0</m:t>
              </m:r>
            </m:oMath>
            <w:r>
              <w:t xml:space="preserve"> </w:t>
            </w:r>
            <w:r>
              <w:t xml:space="preserve">(Nhóm III–V)</w:t>
            </w:r>
          </w:p>
        </w:tc>
        <w:tc>
          <w:tcPr/>
          <w:p>
            <w:pPr>
              <w:pStyle w:val="Compact"/>
              <w:jc w:val="left"/>
            </w:pPr>
            <w:r>
              <w:t xml:space="preserve">P3 IV null; bằng chứng hạn chế</w:t>
            </w:r>
          </w:p>
        </w:tc>
      </w:tr>
      <w:tr>
        <w:tc>
          <w:tcPr/>
          <w:p>
            <w:pPr>
              <w:pStyle w:val="Compact"/>
              <w:jc w:val="left"/>
            </w:pPr>
            <w:r>
              <w:t xml:space="preserve">H3b</w:t>
            </w:r>
          </w:p>
        </w:tc>
        <w:tc>
          <w:tcPr/>
          <w:p>
            <w:pPr>
              <w:pStyle w:val="Compact"/>
              <w:jc w:val="left"/>
            </w:pPr>
            <w:r>
              <w:t xml:space="preserve">DAI Advanced (null/−, conditional +)</w:t>
            </w:r>
          </w:p>
        </w:tc>
        <w:tc>
          <w:tcPr/>
          <w:p>
            <w:pPr>
              <w:pStyle w:val="Compact"/>
              <w:jc w:val="left"/>
            </w:pPr>
            <w:r>
              <w:t xml:space="preserve">CDCM × Digital Adoption Lens</w:t>
            </w:r>
          </w:p>
        </w:tc>
        <w:tc>
          <w:tcPr/>
          <w:p>
            <w:pPr>
              <w:pStyle w:val="Compact"/>
              <w:jc w:val="left"/>
            </w:pPr>
            <w:r>
              <w:t xml:space="preserve">DAI,</w:t>
            </w:r>
            <w:r>
              <w:t xml:space="preserve"> </w:t>
            </w:r>
            <m:oMath>
              <m:sSup>
                <m:e>
                  <m:r>
                    <m:rPr>
                      <m:nor/>
                      <m:sty m:val="p"/>
                    </m:rPr>
                    <m:t>FSTS</m:t>
                  </m:r>
                </m:e>
                <m:sup>
                  <m:r>
                    <m:t>2</m:t>
                  </m:r>
                </m:sup>
              </m:sSup>
              <m:r>
                <m:rPr>
                  <m:sty m:val="p"/>
                </m:rPr>
                <m:t>×</m:t>
              </m:r>
              <m:r>
                <m:rPr>
                  <m:nor/>
                  <m:sty m:val="p"/>
                </m:rPr>
                <m:t>DAI</m:t>
              </m:r>
            </m:oMath>
          </w:p>
        </w:tc>
        <w:tc>
          <w:tcPr/>
          <w:p>
            <w:pPr>
              <w:pStyle w:val="Compact"/>
              <w:jc w:val="left"/>
            </w:pPr>
            <w:r>
              <w:t xml:space="preserve">Direct: null/–; cond:</w:t>
            </w:r>
            <w:r>
              <w:t xml:space="preserve"> </w:t>
            </w:r>
            <m:oMath>
              <m:r>
                <m:t>β</m:t>
              </m:r>
              <m:d>
                <m:dPr>
                  <m:begChr m:val="("/>
                  <m:endChr m:val=")"/>
                  <m:sepChr m:val=""/>
                  <m:grow/>
                </m:dPr>
                <m:e>
                  <m:sSup>
                    <m:e>
                      <m:r>
                        <m:rPr>
                          <m:nor/>
                          <m:sty m:val="p"/>
                        </m:rPr>
                        <m:t>FSTS</m:t>
                      </m:r>
                    </m:e>
                    <m:sup>
                      <m:r>
                        <m:t>2</m:t>
                      </m:r>
                    </m:sup>
                  </m:sSup>
                  <m:r>
                    <m:rPr>
                      <m:sty m:val="p"/>
                    </m:rPr>
                    <m:t>×</m:t>
                  </m:r>
                  <m:r>
                    <m:rPr>
                      <m:nor/>
                      <m:sty m:val="p"/>
                    </m:rPr>
                    <m:t>DAI</m:t>
                  </m:r>
                </m:e>
              </m:d>
              <m:r>
                <m:rPr>
                  <m:sty m:val="p"/>
                </m:rPr>
                <m:t>&gt;</m:t>
              </m:r>
              <m:r>
                <m:t>0</m:t>
              </m:r>
            </m:oMath>
            <w:r>
              <w:t xml:space="preserve"> </w:t>
            </w:r>
            <w:r>
              <w:t xml:space="preserve">ở FSTS cao</w:t>
            </w:r>
          </w:p>
        </w:tc>
        <w:tc>
          <w:tcPr/>
          <w:p>
            <w:pPr>
              <w:pStyle w:val="Compact"/>
              <w:jc w:val="left"/>
            </w:pPr>
            <w:r>
              <w:t xml:space="preserve">P4 +3,119; bão hòa số</w:t>
            </w:r>
          </w:p>
        </w:tc>
      </w:tr>
      <w:tr>
        <w:tc>
          <w:tcPr/>
          <w:p>
            <w:pPr>
              <w:pStyle w:val="Compact"/>
              <w:jc w:val="left"/>
            </w:pPr>
            <w:r>
              <w:t xml:space="preserve">H4a</w:t>
            </w:r>
          </w:p>
        </w:tc>
        <w:tc>
          <w:tcPr/>
          <w:p>
            <w:pPr>
              <w:pStyle w:val="Compact"/>
              <w:jc w:val="left"/>
            </w:pPr>
            <w:r>
              <w:t xml:space="preserve">Kinh nghiệm QL điều tiết</w:t>
            </w:r>
          </w:p>
        </w:tc>
        <w:tc>
          <w:tcPr/>
          <w:p>
            <w:pPr>
              <w:pStyle w:val="Compact"/>
              <w:jc w:val="left"/>
            </w:pPr>
            <w:r>
              <w:t xml:space="preserve">Upper Echelons</w:t>
            </w:r>
          </w:p>
        </w:tc>
        <w:tc>
          <w:tcPr/>
          <w:p>
            <w:pPr>
              <w:pStyle w:val="Compact"/>
              <w:jc w:val="left"/>
            </w:pPr>
            <w:r>
              <w:t xml:space="preserve">exp_manager,</w:t>
            </w:r>
            <w:r>
              <w:t xml:space="preserve"> </w:t>
            </w:r>
            <m:oMath>
              <m:r>
                <m:rPr>
                  <m:nor/>
                  <m:sty m:val="p"/>
                </m:rPr>
                <m:t>FSTS</m:t>
              </m:r>
              <m:r>
                <m:rPr>
                  <m:sty m:val="p"/>
                </m:rPr>
                <m:t>×</m:t>
              </m:r>
              <m:r>
                <m:rPr>
                  <m:nor/>
                  <m:sty m:val="p"/>
                </m:rPr>
                <m:t>exp</m:t>
              </m:r>
            </m:oMath>
          </w:p>
        </w:tc>
        <w:tc>
          <w:tcPr/>
          <w:p>
            <w:pPr>
              <w:pStyle w:val="Compact"/>
              <w:jc w:val="left"/>
            </w:pPr>
            <m:oMath>
              <m:r>
                <m:t>β</m:t>
              </m:r>
              <m:d>
                <m:dPr>
                  <m:begChr m:val="("/>
                  <m:endChr m:val=")"/>
                  <m:sepChr m:val=""/>
                  <m:grow/>
                </m:dPr>
                <m:e>
                  <m:r>
                    <m:rPr>
                      <m:nor/>
                      <m:sty m:val="p"/>
                    </m:rPr>
                    <m:t>FSTS</m:t>
                  </m:r>
                  <m:r>
                    <m:rPr>
                      <m:sty m:val="p"/>
                    </m:rPr>
                    <m:t>×</m:t>
                  </m:r>
                  <m:r>
                    <m:rPr>
                      <m:nor/>
                      <m:sty m:val="p"/>
                    </m:rPr>
                    <m:t>exp</m:t>
                  </m:r>
                </m:e>
              </m:d>
              <m:r>
                <m:rPr>
                  <m:sty m:val="p"/>
                </m:rPr>
                <m:t>&gt;</m:t>
              </m:r>
              <m:r>
                <m:t>0</m:t>
              </m:r>
            </m:oMath>
            <w:r>
              <w:t xml:space="preserve"> </w:t>
            </w:r>
            <w:r>
              <w:t xml:space="preserve">(</w:t>
            </w:r>
            <m:oMath>
              <m:sSub>
                <m:e>
                  <m:r>
                    <m:t>δ</m:t>
                  </m:r>
                </m:e>
                <m:sub>
                  <m:r>
                    <m:rPr>
                      <m:nor/>
                      <m:sty m:val="p"/>
                    </m:rPr>
                    <m:t>exp</m:t>
                  </m:r>
                </m:sub>
              </m:sSub>
              <m:r>
                <m:rPr>
                  <m:sty m:val="p"/>
                </m:rPr>
                <m:t>&gt;</m:t>
              </m:r>
              <m:r>
                <m:t>0</m:t>
              </m:r>
            </m:oMath>
            <w:r>
              <w:t xml:space="preserve">)</w:t>
            </w:r>
          </w:p>
        </w:tc>
        <w:tc>
          <w:tcPr/>
          <w:p>
            <w:pPr>
              <w:pStyle w:val="Compact"/>
              <w:jc w:val="left"/>
            </w:pPr>
            <w:r>
              <w:t xml:space="preserve">(WBES b5)</w:t>
            </w:r>
          </w:p>
        </w:tc>
      </w:tr>
      <w:tr>
        <w:tc>
          <w:tcPr/>
          <w:p>
            <w:pPr>
              <w:pStyle w:val="Compact"/>
              <w:jc w:val="left"/>
            </w:pPr>
            <w:r>
              <w:t xml:space="preserve">H4b</w:t>
            </w:r>
          </w:p>
        </w:tc>
        <w:tc>
          <w:tcPr/>
          <w:p>
            <w:pPr>
              <w:pStyle w:val="Compact"/>
              <w:jc w:val="left"/>
            </w:pPr>
            <w:r>
              <w:t xml:space="preserve">Học vấn QL điều tiết</w:t>
            </w:r>
          </w:p>
        </w:tc>
        <w:tc>
          <w:tcPr/>
          <w:p>
            <w:pPr>
              <w:pStyle w:val="Compact"/>
              <w:jc w:val="left"/>
            </w:pPr>
            <w:r>
              <w:t xml:space="preserve">Upper Echelons</w:t>
            </w:r>
          </w:p>
        </w:tc>
        <w:tc>
          <w:tcPr/>
          <w:p>
            <w:pPr>
              <w:pStyle w:val="Compact"/>
              <w:jc w:val="left"/>
            </w:pPr>
            <w:r>
              <w:t xml:space="preserve">educ_manager,</w:t>
            </w:r>
            <w:r>
              <w:t xml:space="preserve"> </w:t>
            </w:r>
            <m:oMath>
              <m:r>
                <m:rPr>
                  <m:nor/>
                  <m:sty m:val="p"/>
                </m:rPr>
                <m:t>FSTS</m:t>
              </m:r>
              <m:r>
                <m:rPr>
                  <m:sty m:val="p"/>
                </m:rPr>
                <m:t>×</m:t>
              </m:r>
              <m:r>
                <m:rPr>
                  <m:nor/>
                  <m:sty m:val="p"/>
                </m:rPr>
                <m:t>educ</m:t>
              </m:r>
            </m:oMath>
          </w:p>
        </w:tc>
        <w:tc>
          <w:tcPr/>
          <w:p>
            <w:pPr>
              <w:pStyle w:val="Compact"/>
              <w:jc w:val="left"/>
            </w:pPr>
            <m:oMath>
              <m:r>
                <m:t>β</m:t>
              </m:r>
              <m:d>
                <m:dPr>
                  <m:begChr m:val="("/>
                  <m:endChr m:val=")"/>
                  <m:sepChr m:val=""/>
                  <m:grow/>
                </m:dPr>
                <m:e>
                  <m:r>
                    <m:rPr>
                      <m:nor/>
                      <m:sty m:val="p"/>
                    </m:rPr>
                    <m:t>FSTS</m:t>
                  </m:r>
                  <m:r>
                    <m:rPr>
                      <m:sty m:val="p"/>
                    </m:rPr>
                    <m:t>×</m:t>
                  </m:r>
                  <m:r>
                    <m:rPr>
                      <m:nor/>
                      <m:sty m:val="p"/>
                    </m:rPr>
                    <m:t>educ</m:t>
                  </m:r>
                </m:e>
              </m:d>
              <m:r>
                <m:rPr>
                  <m:sty m:val="p"/>
                </m:rPr>
                <m:t>&gt;</m:t>
              </m:r>
              <m:r>
                <m:t>0</m:t>
              </m:r>
            </m:oMath>
            <w:r>
              <w:t xml:space="preserve"> </w:t>
            </w:r>
            <w:r>
              <w:t xml:space="preserve">(</w:t>
            </w:r>
            <m:oMath>
              <m:sSub>
                <m:e>
                  <m:r>
                    <m:t>δ</m:t>
                  </m:r>
                </m:e>
                <m:sub>
                  <m:r>
                    <m:rPr>
                      <m:nor/>
                      <m:sty m:val="p"/>
                    </m:rPr>
                    <m:t>educ</m:t>
                  </m:r>
                </m:sub>
              </m:sSub>
              <m:r>
                <m:rPr>
                  <m:sty m:val="p"/>
                </m:rPr>
                <m:t>&gt;</m:t>
              </m:r>
              <m:r>
                <m:t>0</m:t>
              </m:r>
            </m:oMath>
            <w:r>
              <w:t xml:space="preserve">)</w:t>
            </w:r>
          </w:p>
        </w:tc>
        <w:tc>
          <w:tcPr/>
          <w:p>
            <w:pPr>
              <w:pStyle w:val="Compact"/>
              <w:jc w:val="left"/>
            </w:pPr>
            <w:r>
              <w:t xml:space="preserve">(WBES b7a)</w:t>
            </w:r>
          </w:p>
        </w:tc>
      </w:tr>
      <w:tr>
        <w:tc>
          <w:tcPr/>
          <w:p>
            <w:pPr>
              <w:pStyle w:val="Compact"/>
              <w:jc w:val="left"/>
            </w:pPr>
            <w:r>
              <w:t xml:space="preserve">H4c</w:t>
            </w:r>
          </w:p>
        </w:tc>
        <w:tc>
          <w:tcPr/>
          <w:p>
            <w:pPr>
              <w:pStyle w:val="Compact"/>
              <w:jc w:val="left"/>
            </w:pPr>
            <w:r>
              <w:t xml:space="preserve">Giới tính QL, khám phá</w:t>
            </w:r>
          </w:p>
        </w:tc>
        <w:tc>
          <w:tcPr/>
          <w:p>
            <w:pPr>
              <w:pStyle w:val="Compact"/>
              <w:jc w:val="left"/>
            </w:pPr>
            <w:r>
              <w:t xml:space="preserve">Upper Echelons</w:t>
            </w:r>
          </w:p>
        </w:tc>
        <w:tc>
          <w:tcPr/>
          <w:p>
            <w:pPr>
              <w:pStyle w:val="Compact"/>
              <w:jc w:val="left"/>
            </w:pPr>
            <w:r>
              <w:t xml:space="preserve">gender_manager,</w:t>
            </w:r>
            <w:r>
              <w:t xml:space="preserve"> </w:t>
            </w:r>
            <m:oMath>
              <m:r>
                <m:rPr>
                  <m:nor/>
                  <m:sty m:val="p"/>
                </m:rPr>
                <m:t>FSTS</m:t>
              </m:r>
              <m:r>
                <m:rPr>
                  <m:sty m:val="p"/>
                </m:rPr>
                <m:t>×</m:t>
              </m:r>
              <m:r>
                <m:rPr>
                  <m:nor/>
                  <m:sty m:val="p"/>
                </m:rPr>
                <m:t>gender</m:t>
              </m:r>
            </m:oMath>
          </w:p>
        </w:tc>
        <w:tc>
          <w:tcPr/>
          <w:p>
            <w:pPr>
              <w:pStyle w:val="Compact"/>
              <w:jc w:val="left"/>
            </w:pPr>
            <w:r>
              <w:t xml:space="preserve">Khám phá, hai phía</w:t>
            </w:r>
          </w:p>
        </w:tc>
        <w:tc>
          <w:tcPr/>
          <w:p>
            <w:pPr>
              <w:pStyle w:val="Compact"/>
              <w:jc w:val="left"/>
            </w:pPr>
            <w:r>
              <w:t xml:space="preserve">(WBES b7)</w:t>
            </w:r>
          </w:p>
        </w:tc>
      </w:tr>
      <w:tr>
        <w:tc>
          <w:tcPr/>
          <w:p>
            <w:pPr>
              <w:pStyle w:val="Compact"/>
              <w:jc w:val="left"/>
            </w:pPr>
            <w:r>
              <w:t xml:space="preserve">H5</w:t>
            </w:r>
          </w:p>
        </w:tc>
        <w:tc>
          <w:tcPr/>
          <w:p>
            <w:pPr>
              <w:pStyle w:val="Compact"/>
              <w:jc w:val="left"/>
            </w:pPr>
            <w:r>
              <w:t xml:space="preserve">Phổ ICRV</w:t>
            </w:r>
          </w:p>
        </w:tc>
        <w:tc>
          <w:tcPr/>
          <w:p>
            <w:pPr>
              <w:pStyle w:val="Compact"/>
              <w:jc w:val="left"/>
            </w:pPr>
            <w:r>
              <w:t xml:space="preserve">Institutional Theory</w:t>
            </w:r>
          </w:p>
        </w:tc>
        <w:tc>
          <w:tcPr/>
          <w:p>
            <w:pPr>
              <w:pStyle w:val="Compact"/>
              <w:jc w:val="left"/>
            </w:pPr>
            <m:oMath>
              <m:sSub>
                <m:e>
                  <m:r>
                    <m:rPr>
                      <m:nor/>
                      <m:sty m:val="p"/>
                    </m:rPr>
                    <m:t>ICRV</m:t>
                  </m:r>
                </m:e>
                <m:sub>
                  <m:r>
                    <m:t>j</m:t>
                  </m:r>
                </m:sub>
              </m:sSub>
              <m:r>
                <m:rPr>
                  <m:sty m:val="p"/>
                </m:rPr>
                <m:t>×</m:t>
              </m:r>
              <m:r>
                <m:rPr>
                  <m:nor/>
                  <m:sty m:val="p"/>
                </m:rPr>
                <m:t>FSTS</m:t>
              </m:r>
            </m:oMath>
          </w:p>
        </w:tc>
        <w:tc>
          <w:tcPr/>
          <w:p>
            <w:pPr>
              <w:pStyle w:val="Compact"/>
              <w:jc w:val="left"/>
            </w:pPr>
            <w:r>
              <w:t xml:space="preserve">TP phổ thể chế; Nhóm VI gánh nặng bắt buộc</w:t>
            </w:r>
          </w:p>
        </w:tc>
        <w:tc>
          <w:tcPr/>
          <w:p>
            <w:pPr>
              <w:pStyle w:val="Compact"/>
              <w:jc w:val="left"/>
            </w:pPr>
            <w:r>
              <w:t xml:space="preserve">Phân tán LP tăng theo chế độ (CĐ1)</w:t>
            </w:r>
          </w:p>
        </w:tc>
      </w:tr>
      <w:tr>
        <w:tc>
          <w:tcPr/>
          <w:p>
            <w:pPr>
              <w:pStyle w:val="Compact"/>
              <w:jc w:val="left"/>
            </w:pPr>
            <w:r>
              <w:t xml:space="preserve">H6</w:t>
            </w:r>
          </w:p>
        </w:tc>
        <w:tc>
          <w:tcPr/>
          <w:p>
            <w:pPr>
              <w:pStyle w:val="Compact"/>
              <w:jc w:val="left"/>
            </w:pPr>
            <w:r>
              <w:t xml:space="preserve">Không đồng nhất thời gian</w:t>
            </w:r>
          </w:p>
        </w:tc>
        <w:tc>
          <w:tcPr/>
          <w:p>
            <w:pPr>
              <w:pStyle w:val="Compact"/>
              <w:jc w:val="left"/>
            </w:pPr>
            <w:r>
              <w:t xml:space="preserve">Thay đổi cấu trúc</w:t>
            </w:r>
          </w:p>
        </w:tc>
        <w:tc>
          <w:tcPr/>
          <w:p>
            <w:pPr>
              <w:pStyle w:val="Compact"/>
              <w:jc w:val="left"/>
            </w:pPr>
            <m:oMath>
              <m:r>
                <m:rPr>
                  <m:nor/>
                  <m:sty m:val="p"/>
                </m:rPr>
                <m:t>Year_bucket</m:t>
              </m:r>
              <m:r>
                <m:rPr>
                  <m:sty m:val="p"/>
                </m:rPr>
                <m:t>×</m:t>
              </m:r>
              <m:r>
                <m:rPr>
                  <m:nor/>
                  <m:sty m:val="p"/>
                </m:rPr>
                <m:t>FSTS</m:t>
              </m:r>
            </m:oMath>
          </w:p>
        </w:tc>
        <w:tc>
          <w:tcPr/>
          <w:p>
            <w:pPr>
              <w:pStyle w:val="Compact"/>
              <w:jc w:val="left"/>
            </w:pPr>
            <m:oMath>
              <m:r>
                <m:t>β</m:t>
              </m:r>
              <m:d>
                <m:dPr>
                  <m:begChr m:val="("/>
                  <m:endChr m:val=")"/>
                  <m:sepChr m:val=""/>
                  <m:grow/>
                </m:dPr>
                <m:e>
                  <m:r>
                    <m:rPr>
                      <m:nor/>
                      <m:sty m:val="p"/>
                    </m:rPr>
                    <m:t>FSTS</m:t>
                  </m:r>
                  <m:r>
                    <m:rPr>
                      <m:sty m:val="p"/>
                    </m:rPr>
                    <m:t>×</m:t>
                  </m:r>
                  <m:r>
                    <m:rPr>
                      <m:nor/>
                      <m:sty m:val="p"/>
                    </m:rPr>
                    <m:t>Year</m:t>
                  </m:r>
                </m:e>
              </m:d>
              <m:r>
                <m:rPr>
                  <m:sty m:val="p"/>
                </m:rPr>
                <m:t>≠</m:t>
              </m:r>
              <m:r>
                <m:t>0</m:t>
              </m:r>
            </m:oMath>
          </w:p>
        </w:tc>
        <w:tc>
          <w:tcPr/>
          <w:p>
            <w:pPr>
              <w:pStyle w:val="Compact"/>
              <w:jc w:val="left"/>
            </w:pPr>
            <w:r>
              <w:t xml:space="preserve">P3 Paternoster p &lt; 0,001; P5 TCI p = 0,011</w:t>
            </w:r>
          </w:p>
        </w:tc>
      </w:tr>
    </w:tbl>
    <w:p>
      <w:pPr>
        <w:pStyle w:val="BodyText"/>
      </w:pPr>
      <w:r>
        <w:t xml:space="preserve">Mười một mệnh đề con dưới sáu giả thuyết chính H1–H6 (H1 với hai cơ chế biên tham gia và biên cường độ, H2, H3a–H3b với H3c tính phân biệt, H4a–H4c, H5, H6) tạo thành hệ thống logic nhất quán: H1 cùng hai cơ chế biên tham gia và biên cường độ (phi tuyến) là trọng tâm; H2 (TCI nâng mặt bằng) và H3a/H3b (DAI phụ thuộc regime) phân rã cơ chế năng lực doanh nghiệp với dấu kỳ vọng khác nhau theo ngữ cảnh; H4a–H4c (Quản trị) bổ sung tầng lý thuyết thượng tầng quản trị với dấu kỳ vọng phân biệt theo đặc điểm nhà quản trị; H5 (ICRV phổ thể chế) là tầng thể chế bao trùm; H6 (Thời gian) là tầng động.</w:t>
      </w:r>
    </w:p>
    <w:p>
      <w:pPr>
        <w:pStyle w:val="BodyText"/>
      </w:pPr>
      <w:r>
        <w:t xml:space="preserve">Tích hợp cả sáu giả thuyết trong M7 (điều tiết ba chiều) cho phép kiểm định xem TCI và DAI là bổ sung (β(TCI×DAI×FSTS) &gt; 0) hay thay thế (β &lt; 0) trong điều tiết quốc tế hóa và hiệu quả ở Nhóm I, câu hỏi chưa được trả lời trong bất kỳ nghiên cứu quốc tế hóa và hiệu quả nào trước đây.</w:t>
      </w:r>
    </w:p>
    <w:bookmarkEnd w:id="61"/>
    <w:bookmarkEnd w:id="62"/>
    <w:bookmarkStart w:id="73" w:name="thiết-kế-mô-hình-thực-nghiệm-m0m7"/>
    <w:p>
      <w:pPr>
        <w:pStyle w:val="Heading4"/>
      </w:pPr>
      <w:r>
        <w:t xml:space="preserve">2.3.5 Thiết kế mô hình thực nghiệm (M0–M7)</w:t>
      </w:r>
    </w:p>
    <w:bookmarkStart w:id="63" w:name="nguyên-tắc-mô-hình"/>
    <w:p>
      <w:pPr>
        <w:pStyle w:val="Heading5"/>
      </w:pPr>
      <w:r>
        <w:t xml:space="preserve">Nguyên tắc mô hình</w:t>
      </w:r>
    </w:p>
    <w:p>
      <w:pPr>
        <w:pStyle w:val="FirstParagraph"/>
      </w:pPr>
      <w:r>
        <w:t xml:space="preserve">Tám mô hình M0–M7 được xây dựng theo cấu trúc lồng nhau: mỗi mô hình sau bổ sung thêm biến so với mô hình trước, cho phép so sánh AIC/BIC và R² tăng thêm, và kiểm định từng giả thuyết bằng F-test theo khối. Tất cả mô hình sử dụng: biến phụ thuộc là ln(LP) = ln(doanh thu hằng năm trong nội tệ / lao động thường xuyên), chuẩn hóa z trong cụm nền kinh tế × năm (xem Mục 2.3.6); sai số chuẩn HC1 robust (Long &amp; Ervin, 2000) làm chuẩn; hiệu ứng cố định quốc gia (</w:t>
      </w:r>
      <m:oMath>
        <m:sSub>
          <m:e>
            <m:r>
              <m:t>α</m:t>
            </m:r>
          </m:e>
          <m:sub>
            <m:r>
              <m:t>j</m:t>
            </m:r>
          </m:sub>
        </m:sSub>
      </m:oMath>
      <w:r>
        <w:t xml:space="preserve">) và năm (</w:t>
      </w:r>
      <m:oMath>
        <m:sSub>
          <m:e>
            <m:r>
              <m:t>δ</m:t>
            </m:r>
          </m:e>
          <m:sub>
            <m:r>
              <m:t>t</m:t>
            </m:r>
          </m:sub>
        </m:sSub>
      </m:oMath>
      <w:r>
        <w:t xml:space="preserve">); FSTS được tính trung tâm theo mean trước khi tính</w:t>
      </w:r>
      <w:r>
        <w:t xml:space="preserve"> </w:t>
      </w:r>
      <m:oMath>
        <m:sSup>
          <m:e>
            <m:r>
              <m:rPr>
                <m:sty m:val="p"/>
              </m:rPr>
              <m:t>F</m:t>
            </m:r>
            <m:r>
              <m:rPr>
                <m:sty m:val="p"/>
              </m:rPr>
              <m:t>S</m:t>
            </m:r>
            <m:r>
              <m:rPr>
                <m:sty m:val="p"/>
              </m:rPr>
              <m:t>T</m:t>
            </m:r>
            <m:r>
              <m:rPr>
                <m:sty m:val="p"/>
              </m:rPr>
              <m:t>S</m:t>
            </m:r>
          </m:e>
          <m:sup>
            <m:r>
              <m:t>2</m:t>
            </m:r>
          </m:sup>
        </m:sSup>
      </m:oMath>
      <w:r>
        <w:t xml:space="preserve"> </w:t>
      </w:r>
      <w:r>
        <w:t xml:space="preserve">để giảm đa cộng tuyến.</w:t>
      </w:r>
    </w:p>
    <w:p>
      <w:pPr>
        <w:pStyle w:val="BodyText"/>
      </w:pPr>
      <w:r>
        <w:t xml:space="preserve">Tiêu chí lựa chọn mô hình:</w:t>
      </w:r>
      <w:r>
        <w:t xml:space="preserve"> </w:t>
      </w:r>
      <m:oMath>
        <m:r>
          <m:t>Δ</m:t>
        </m:r>
        <m:sSup>
          <m:e>
            <m:r>
              <m:t>R</m:t>
            </m:r>
          </m:e>
          <m:sup>
            <m:r>
              <m:t>2</m:t>
            </m:r>
          </m:sup>
        </m:sSup>
        <m:r>
          <m:rPr>
            <m:sty m:val="p"/>
          </m:rPr>
          <m:t>&gt;</m:t>
        </m:r>
        <m:r>
          <m:t>0</m:t>
        </m:r>
        <m:r>
          <m:rPr>
            <m:sty m:val="p"/>
          </m:rPr>
          <m:t>,</m:t>
        </m:r>
        <m:r>
          <m:t>01</m:t>
        </m:r>
      </m:oMath>
      <w:r>
        <w:t xml:space="preserve"> </w:t>
      </w:r>
      <w:r>
        <w:t xml:space="preserve">để thêm biến điều tiết;</w:t>
      </w:r>
      <w:r>
        <w:t xml:space="preserve"> </w:t>
      </w:r>
      <m:oMath>
        <m:r>
          <m:t>Δ</m:t>
        </m:r>
        <m:r>
          <m:rPr>
            <m:sty m:val="p"/>
          </m:rPr>
          <m:t>A</m:t>
        </m:r>
        <m:r>
          <m:rPr>
            <m:sty m:val="p"/>
          </m:rPr>
          <m:t>I</m:t>
        </m:r>
        <m:r>
          <m:rPr>
            <m:sty m:val="p"/>
          </m:rPr>
          <m:t>C</m:t>
        </m:r>
        <m:r>
          <m:rPr>
            <m:sty m:val="p"/>
          </m:rPr>
          <m:t>&lt;</m:t>
        </m:r>
        <m:r>
          <m:rPr>
            <m:sty m:val="p"/>
          </m:rPr>
          <m:t>−</m:t>
        </m:r>
        <m:r>
          <m:t>2</m:t>
        </m:r>
      </m:oMath>
      <w:r>
        <w:t xml:space="preserve"> </w:t>
      </w:r>
      <w:r>
        <w:t xml:space="preserve">ủng hộ mô hình phức tạp hơn;</w:t>
      </w:r>
      <w:r>
        <w:t xml:space="preserve"> </w:t>
      </w:r>
      <m:oMath>
        <m:r>
          <m:t>Δ</m:t>
        </m:r>
        <m:r>
          <m:rPr>
            <m:sty m:val="p"/>
          </m:rPr>
          <m:t>B</m:t>
        </m:r>
        <m:r>
          <m:rPr>
            <m:sty m:val="p"/>
          </m:rPr>
          <m:t>I</m:t>
        </m:r>
        <m:r>
          <m:rPr>
            <m:sty m:val="p"/>
          </m:rPr>
          <m:t>C</m:t>
        </m:r>
        <m:r>
          <m:rPr>
            <m:sty m:val="p"/>
          </m:rPr>
          <m:t>&lt;</m:t>
        </m:r>
        <m:r>
          <m:rPr>
            <m:sty m:val="p"/>
          </m:rPr>
          <m:t>−</m:t>
        </m:r>
        <m:r>
          <m:t>10</m:t>
        </m:r>
      </m:oMath>
      <w:r>
        <w:t xml:space="preserve"> </w:t>
      </w:r>
      <w:r>
        <w:t xml:space="preserve">là bằng chứng mạnh; F-test</w:t>
      </w:r>
      <w:r>
        <w:t xml:space="preserve"> </w:t>
      </w:r>
      <m:oMath>
        <m:r>
          <m:t>p</m:t>
        </m:r>
        <m:r>
          <m:rPr>
            <m:sty m:val="p"/>
          </m:rPr>
          <m:t>&lt;</m:t>
        </m:r>
        <m:r>
          <m:t>0</m:t>
        </m:r>
        <m:r>
          <m:rPr>
            <m:sty m:val="p"/>
          </m:rPr>
          <m:t>,</m:t>
        </m:r>
        <m:r>
          <m:t>05</m:t>
        </m:r>
      </m:oMath>
      <w:r>
        <w:t xml:space="preserve"> </w:t>
      </w:r>
      <w:r>
        <w:t xml:space="preserve">để thêm khối biến. M7 được báo cáo nếu ΔAIC(M7 vs M4+M3 kết hợp) &lt; −2 VÀ F-test p &lt; 0,05.</w:t>
      </w:r>
    </w:p>
    <w:bookmarkEnd w:id="63"/>
    <w:bookmarkStart w:id="64" w:name="m0-cơ-sở-tuyến-tính"/>
    <w:p>
      <w:pPr>
        <w:pStyle w:val="Heading5"/>
      </w:pPr>
      <w:r>
        <w:t xml:space="preserve">M0: Cơ sở tuyến tính</w:t>
      </w:r>
    </w:p>
    <w:p>
      <w:pPr>
        <w:pStyle w:val="FirstParagraph"/>
      </w:pPr>
    </w:p>
    <w:p>
      <w:pPr>
        <w:pStyle w:val="BodyText"/>
      </w:pPr>
      <w:r>
        <w:t xml:space="preserve">Mục đích: thiết lập cơ sở và kiểm tra hướng tác động tuyến tính thuần túy.</w:t>
      </w:r>
      <w:r>
        <w:t xml:space="preserve"> </w:t>
      </w:r>
      <w:r>
        <w:t xml:space="preserve">Kỳ vọng:</w:t>
      </w:r>
      <w:r>
        <w:t xml:space="preserve"> </w:t>
      </w:r>
      <m:oMath>
        <m:sSub>
          <m:e>
            <m:r>
              <m:t>β</m:t>
            </m:r>
          </m:e>
          <m:sub>
            <m:r>
              <m:t>1</m:t>
            </m:r>
          </m:sub>
        </m:sSub>
        <m:r>
          <m:rPr>
            <m:sty m:val="p"/>
          </m:rPr>
          <m:t>&gt;</m:t>
        </m:r>
        <m:r>
          <m:t>0</m:t>
        </m:r>
      </m:oMath>
      <w:r>
        <w:t xml:space="preserve"> </w:t>
      </w:r>
      <w:r>
        <w:t xml:space="preserve">(tác động dương trung bình của xuất khẩu).</w:t>
      </w:r>
      <w:r>
        <w:t xml:space="preserve"> </w:t>
      </w:r>
      <w:r>
        <w:t xml:space="preserve">Hạn chế: không nắm bắt được phi tuyến tính, cung cấp ước lượng cận dưới cho tác động quốc tế hóa.</w:t>
      </w:r>
    </w:p>
    <w:bookmarkEnd w:id="64"/>
    <w:bookmarkStart w:id="65" w:name="X75646ecbe4363f90b6d09bbb84a86967944c7db"/>
    <w:p>
      <w:pPr>
        <w:pStyle w:val="Heading5"/>
      </w:pPr>
      <w:r>
        <w:t xml:space="preserve">M1: Chữ U ngược bậc hai (kiểm định H1 bậc hai)</w:t>
      </w:r>
    </w:p>
    <w:p>
      <w:pPr>
        <w:pStyle w:val="FirstParagraph"/>
      </w:pPr>
    </w:p>
    <w:p>
      <w:pPr>
        <w:pStyle w:val="BodyText"/>
      </w:pPr>
      <w:r>
        <w:t xml:space="preserve">Mục đích: kiểm định chữ U ngược trong H1, dạng hàm phổ biến nhất trong tài liệu.</w:t>
      </w:r>
      <w:r>
        <w:t xml:space="preserve"> </w:t>
      </w:r>
      <w:r>
        <w:t xml:space="preserve">Kỳ vọng:</w:t>
      </w:r>
      <w:r>
        <w:t xml:space="preserve"> </w:t>
      </w:r>
      <m:oMath>
        <m:sSub>
          <m:e>
            <m:r>
              <m:t>β</m:t>
            </m:r>
          </m:e>
          <m:sub>
            <m:r>
              <m:t>1</m:t>
            </m:r>
          </m:sub>
        </m:sSub>
        <m:r>
          <m:rPr>
            <m:sty m:val="p"/>
          </m:rPr>
          <m:t>&gt;</m:t>
        </m:r>
        <m:r>
          <m:t>0</m:t>
        </m:r>
      </m:oMath>
      <w:r>
        <w:t xml:space="preserve">,</w:t>
      </w:r>
      <w:r>
        <w:t xml:space="preserve"> </w:t>
      </w:r>
      <m:oMath>
        <m:sSub>
          <m:e>
            <m:r>
              <m:t>β</m:t>
            </m:r>
          </m:e>
          <m:sub>
            <m:r>
              <m:t>2</m:t>
            </m:r>
          </m:sub>
        </m:sSub>
        <m:r>
          <m:rPr>
            <m:sty m:val="p"/>
          </m:rPr>
          <m:t>&lt;</m:t>
        </m:r>
        <m:r>
          <m:t>0</m:t>
        </m:r>
      </m:oMath>
      <w:r>
        <w:t xml:space="preserve">.</w:t>
      </w:r>
      <w:r>
        <w:t xml:space="preserve"> </w:t>
      </w:r>
      <w:r>
        <w:t xml:space="preserve">Điểm uốn:</w:t>
      </w:r>
      <w:r>
        <w:t xml:space="preserve"> </w:t>
      </w:r>
      <m:oMath>
        <m:sSub>
          <m:e>
            <m:r>
              <m:rPr>
                <m:sty m:val="p"/>
              </m:rPr>
              <m:t>T</m:t>
            </m:r>
            <m:r>
              <m:rPr>
                <m:sty m:val="p"/>
              </m:rPr>
              <m:t>P</m:t>
            </m:r>
          </m:e>
          <m:sub>
            <m:r>
              <m:t>1</m:t>
            </m:r>
          </m:sub>
        </m:sSub>
        <m:r>
          <m:rPr>
            <m:sty m:val="p"/>
          </m:rPr>
          <m:t>=</m:t>
        </m:r>
        <m:r>
          <m:rPr>
            <m:sty m:val="p"/>
          </m:rPr>
          <m:t>−</m:t>
        </m:r>
        <m:sSub>
          <m:e>
            <m:r>
              <m:t>β</m:t>
            </m:r>
          </m:e>
          <m:sub>
            <m:r>
              <m:t>1</m:t>
            </m:r>
          </m:sub>
        </m:sSub>
        <m:r>
          <m:rPr>
            <m:sty m:val="p"/>
          </m:rPr>
          <m:t>/</m:t>
        </m:r>
        <m:d>
          <m:dPr>
            <m:begChr m:val="("/>
            <m:endChr m:val=")"/>
            <m:sepChr m:val=""/>
            <m:grow/>
          </m:dPr>
          <m:e>
            <m:r>
              <m:t>2</m:t>
            </m:r>
            <m:sSub>
              <m:e>
                <m:r>
                  <m:t>β</m:t>
                </m:r>
              </m:e>
              <m:sub>
                <m:r>
                  <m:t>2</m:t>
                </m:r>
              </m:sub>
            </m:sSub>
          </m:e>
        </m:d>
      </m:oMath>
      <w:r>
        <w:t xml:space="preserve">, mức FSTS tối ưu (trên thang mean-centered).</w:t>
      </w:r>
      <w:r>
        <w:t xml:space="preserve"> </w:t>
      </w:r>
      <w:r>
        <w:t xml:space="preserve">Kiểm định bổ sung: Lind–Mehlum (2010) để xác nhận chữ U ngược thực sự.</w:t>
      </w:r>
    </w:p>
    <w:bookmarkEnd w:id="65"/>
    <w:bookmarkStart w:id="66" w:name="X51cb9b2996366fdc36147f0c453aa9546199387"/>
    <w:p>
      <w:pPr>
        <w:pStyle w:val="Heading5"/>
      </w:pPr>
      <w:r>
        <w:t xml:space="preserve">M2: đường cong chữ S bậc ba (kiểm định H1 đầy đủ)</w:t>
      </w:r>
    </w:p>
    <w:p>
      <w:pPr>
        <w:pStyle w:val="FirstParagraph"/>
      </w:pPr>
    </w:p>
    <w:p>
      <w:pPr>
        <w:pStyle w:val="BodyText"/>
      </w:pPr>
      <w:r>
        <w:t xml:space="preserve">Mục đích: kiểm định đường cong chữ S ba giai đoạn (Lu &amp; Beamish, 2004; Contractor et al., 2003).</w:t>
      </w:r>
      <w:r>
        <w:t xml:space="preserve"> </w:t>
      </w:r>
      <w:r>
        <w:t xml:space="preserve">Kỳ vọng:</w:t>
      </w:r>
      <w:r>
        <w:t xml:space="preserve"> </w:t>
      </w:r>
      <m:oMath>
        <m:sSub>
          <m:e>
            <m:r>
              <m:t>β</m:t>
            </m:r>
          </m:e>
          <m:sub>
            <m:r>
              <m:t>1</m:t>
            </m:r>
          </m:sub>
        </m:sSub>
        <m:r>
          <m:rPr>
            <m:sty m:val="p"/>
          </m:rPr>
          <m:t>&gt;</m:t>
        </m:r>
        <m:r>
          <m:t>0</m:t>
        </m:r>
      </m:oMath>
      <w:r>
        <w:t xml:space="preserve">,</w:t>
      </w:r>
      <w:r>
        <w:t xml:space="preserve"> </w:t>
      </w:r>
      <m:oMath>
        <m:sSub>
          <m:e>
            <m:r>
              <m:t>β</m:t>
            </m:r>
          </m:e>
          <m:sub>
            <m:r>
              <m:t>2</m:t>
            </m:r>
          </m:sub>
        </m:sSub>
        <m:r>
          <m:rPr>
            <m:sty m:val="p"/>
          </m:rPr>
          <m:t>&lt;</m:t>
        </m:r>
        <m:r>
          <m:t>0</m:t>
        </m:r>
      </m:oMath>
      <w:r>
        <w:t xml:space="preserve">,</w:t>
      </w:r>
      <w:r>
        <w:t xml:space="preserve"> </w:t>
      </w:r>
      <m:oMath>
        <m:sSub>
          <m:e>
            <m:r>
              <m:t>β</m:t>
            </m:r>
          </m:e>
          <m:sub>
            <m:r>
              <m:t>3</m:t>
            </m:r>
          </m:sub>
        </m:sSub>
        <m:r>
          <m:rPr>
            <m:sty m:val="p"/>
          </m:rPr>
          <m:t>&gt;</m:t>
        </m:r>
        <m:r>
          <m:t>0</m:t>
        </m:r>
      </m:oMath>
      <w:r>
        <w:t xml:space="preserve">.</w:t>
      </w:r>
      <w:r>
        <w:t xml:space="preserve"> </w:t>
      </w:r>
      <w:r>
        <w:t xml:space="preserve">Lựa chọn mô hình: so sánh M1 và M2 bằng AIC, BIC, và F-test</w:t>
      </w:r>
      <w:r>
        <w:t xml:space="preserve"> </w:t>
      </w:r>
      <m:oMath>
        <m:sSub>
          <m:e>
            <m:r>
              <m:t>β</m:t>
            </m:r>
          </m:e>
          <m:sub>
            <m:r>
              <m:t>3</m:t>
            </m:r>
          </m:sub>
        </m:sSub>
        <m:r>
          <m:rPr>
            <m:sty m:val="p"/>
          </m:rPr>
          <m:t>=</m:t>
        </m:r>
        <m:r>
          <m:t>0</m:t>
        </m:r>
      </m:oMath>
      <w:r>
        <w:t xml:space="preserve">.</w:t>
      </w:r>
    </w:p>
    <w:bookmarkEnd w:id="66"/>
    <w:bookmarkStart w:id="67" w:name="m3-điều-tiết-tci-kiểm-định-h2"/>
    <w:p>
      <w:pPr>
        <w:pStyle w:val="Heading5"/>
      </w:pPr>
      <w:r>
        <w:t xml:space="preserve">M3: + Điều tiết TCI (kiểm định H2)</w:t>
      </w:r>
    </w:p>
    <w:p>
      <w:pPr>
        <w:pStyle w:val="FirstParagraph"/>
      </w:pPr>
    </w:p>
    <w:p>
      <w:pPr>
        <w:pStyle w:val="BodyText"/>
      </w:pPr>
      <w:r>
        <w:t xml:space="preserve">Mục đích: kiểm định H2, TCI là nâng mặt bằng (</w:t>
      </w:r>
      <m:oMath>
        <m:sSub>
          <m:e>
            <m:r>
              <m:t>β</m:t>
            </m:r>
          </m:e>
          <m:sub>
            <m:r>
              <m:t>3</m:t>
            </m:r>
          </m:sub>
        </m:sSub>
        <m:r>
          <m:rPr>
            <m:sty m:val="p"/>
          </m:rPr>
          <m:t>&gt;</m:t>
        </m:r>
        <m:r>
          <m:t>0</m:t>
        </m:r>
      </m:oMath>
      <w:r>
        <w:t xml:space="preserve">) và/hoặc điều tiết độ cong (</w:t>
      </w:r>
      <m:oMath>
        <m:sSub>
          <m:e>
            <m:r>
              <m:t>β</m:t>
            </m:r>
          </m:e>
          <m:sub>
            <m:r>
              <m:t>4</m:t>
            </m:r>
          </m:sub>
        </m:sSub>
      </m:oMath>
      <w:r>
        <w:t xml:space="preserve">,</w:t>
      </w:r>
      <w:r>
        <w:t xml:space="preserve"> </w:t>
      </w:r>
      <m:oMath>
        <m:sSub>
          <m:e>
            <m:r>
              <m:t>β</m:t>
            </m:r>
          </m:e>
          <m:sub>
            <m:r>
              <m:t>5</m:t>
            </m:r>
          </m:sub>
        </m:sSub>
      </m:oMath>
      <w:r>
        <w:t xml:space="preserve">).</w:t>
      </w:r>
      <w:r>
        <w:t xml:space="preserve"> </w:t>
      </w:r>
      <w:r>
        <w:t xml:space="preserve">Kỳ vọng chính:</w:t>
      </w:r>
      <w:r>
        <w:t xml:space="preserve"> </w:t>
      </w:r>
      <m:oMath>
        <m:sSub>
          <m:e>
            <m:r>
              <m:t>β</m:t>
            </m:r>
          </m:e>
          <m:sub>
            <m:r>
              <m:t>3</m:t>
            </m:r>
          </m:sub>
        </m:sSub>
        <m:r>
          <m:rPr>
            <m:sty m:val="p"/>
          </m:rPr>
          <m:t>&gt;</m:t>
        </m:r>
        <m:r>
          <m:t>0</m:t>
        </m:r>
      </m:oMath>
      <w:r>
        <w:t xml:space="preserve"> </w:t>
      </w:r>
      <w:r>
        <w:t xml:space="preserve">(hiệu ứng TCI trực tiếp).</w:t>
      </w:r>
      <w:r>
        <w:t xml:space="preserve"> </w:t>
      </w:r>
      <w:r>
        <w:t xml:space="preserve">Kiểm định: F-test (</w:t>
      </w:r>
      <m:oMath>
        <m:sSub>
          <m:e>
            <m:r>
              <m:t>β</m:t>
            </m:r>
          </m:e>
          <m:sub>
            <m:r>
              <m:t>4</m:t>
            </m:r>
          </m:sub>
        </m:sSub>
        <m:r>
          <m:rPr>
            <m:sty m:val="p"/>
          </m:rPr>
          <m:t>=</m:t>
        </m:r>
        <m:sSub>
          <m:e>
            <m:r>
              <m:t>β</m:t>
            </m:r>
          </m:e>
          <m:sub>
            <m:r>
              <m:t>5</m:t>
            </m:r>
          </m:sub>
        </m:sSub>
        <m:r>
          <m:rPr>
            <m:sty m:val="p"/>
          </m:rPr>
          <m:t>=</m:t>
        </m:r>
        <m:r>
          <m:t>0</m:t>
        </m:r>
      </m:oMath>
      <w:r>
        <w:t xml:space="preserve">) = kiểm định điều tiết kết hợp (joint moderation); nếu</w:t>
      </w:r>
      <w:r>
        <w:t xml:space="preserve"> </w:t>
      </w:r>
      <m:oMath>
        <m:r>
          <m:t>p</m:t>
        </m:r>
        <m:r>
          <m:rPr>
            <m:sty m:val="p"/>
          </m:rPr>
          <m:t>&gt;</m:t>
        </m:r>
        <m:r>
          <m:t>0</m:t>
        </m:r>
        <m:r>
          <m:rPr>
            <m:sty m:val="p"/>
          </m:rPr>
          <m:t>,</m:t>
        </m:r>
        <m:r>
          <m:t>10</m:t>
        </m:r>
      </m:oMath>
      <w:r>
        <w:t xml:space="preserve"> </w:t>
      </w:r>
      <w:r>
        <w:t xml:space="preserve">sang TCI là nâng mặt bằng thuần túy.</w:t>
      </w:r>
    </w:p>
    <w:bookmarkEnd w:id="67"/>
    <w:bookmarkStart w:id="68" w:name="m4-điều-tiết-dai-kiểm-định-h3"/>
    <w:p>
      <w:pPr>
        <w:pStyle w:val="Heading5"/>
      </w:pPr>
      <w:r>
        <w:t xml:space="preserve">M4: + Điều tiết DAI (kiểm định H3)</w:t>
      </w:r>
    </w:p>
    <w:p>
      <w:pPr>
        <w:pStyle w:val="FirstParagraph"/>
      </w:pPr>
    </w:p>
    <w:p>
      <w:pPr>
        <w:pStyle w:val="BodyText"/>
      </w:pPr>
      <w:r>
        <w:t xml:space="preserve">Mục đích: kiểm định H3, DAI là nguồn lực mở rộng tình huống.</w:t>
      </w:r>
      <w:r>
        <w:t xml:space="preserve"> </w:t>
      </w:r>
      <w:r>
        <w:t xml:space="preserve">Kỳ vọng:</w:t>
      </w:r>
      <w:r>
        <w:t xml:space="preserve"> </w:t>
      </w:r>
      <m:oMath>
        <m:sSub>
          <m:e>
            <m:r>
              <m:t>β</m:t>
            </m:r>
          </m:e>
          <m:sub>
            <m:r>
              <m:t>5</m:t>
            </m:r>
          </m:sub>
        </m:sSub>
        <m:d>
          <m:dPr>
            <m:begChr m:val="("/>
            <m:endChr m:val=")"/>
            <m:sepChr m:val=""/>
            <m:grow/>
          </m:dPr>
          <m:e>
            <m:sSup>
              <m:e>
                <m:r>
                  <m:rPr>
                    <m:sty m:val="p"/>
                  </m:rPr>
                  <m:t>F</m:t>
                </m:r>
                <m:r>
                  <m:rPr>
                    <m:sty m:val="p"/>
                  </m:rPr>
                  <m:t>S</m:t>
                </m:r>
                <m:r>
                  <m:rPr>
                    <m:sty m:val="p"/>
                  </m:rPr>
                  <m:t>T</m:t>
                </m:r>
                <m:r>
                  <m:rPr>
                    <m:sty m:val="p"/>
                  </m:rPr>
                  <m:t>S</m:t>
                </m:r>
              </m:e>
              <m:sup>
                <m:r>
                  <m:t>2</m:t>
                </m:r>
              </m:sup>
            </m:sSup>
            <m:r>
              <m:rPr>
                <m:sty m:val="p"/>
              </m:rPr>
              <m:t>×</m:t>
            </m:r>
            <m:r>
              <m:rPr>
                <m:sty m:val="p"/>
              </m:rPr>
              <m:t>D</m:t>
            </m:r>
            <m:r>
              <m:rPr>
                <m:sty m:val="p"/>
              </m:rPr>
              <m:t>A</m:t>
            </m:r>
            <m:r>
              <m:rPr>
                <m:sty m:val="p"/>
              </m:rPr>
              <m:t>I</m:t>
            </m:r>
          </m:e>
        </m:d>
        <m:r>
          <m:rPr>
            <m:sty m:val="p"/>
          </m:rPr>
          <m:t>&gt;</m:t>
        </m:r>
        <m:r>
          <m:t>0</m:t>
        </m:r>
      </m:oMath>
      <w:r>
        <w:t xml:space="preserve"> </w:t>
      </w:r>
      <w:r>
        <w:t xml:space="preserve">trong Nhóm I (nhất quán P4 Singapore</w:t>
      </w:r>
      <w:r>
        <w:t xml:space="preserve"> </w:t>
      </w:r>
      <m:oMath>
        <m:r>
          <m:rPr>
            <m:sty m:val="p"/>
          </m:rPr>
          <m:t>+</m:t>
        </m:r>
        <m:r>
          <m:t>3</m:t>
        </m:r>
        <m:r>
          <m:rPr>
            <m:sty m:val="p"/>
          </m:rPr>
          <m:t>,</m:t>
        </m:r>
        <m:r>
          <m:t>119</m:t>
        </m:r>
      </m:oMath>
      <w:r>
        <w:t xml:space="preserve">);</w:t>
      </w:r>
      <w:r>
        <w:t xml:space="preserve"> </w:t>
      </w:r>
      <m:oMath>
        <m:sSub>
          <m:e>
            <m:r>
              <m:t>β</m:t>
            </m:r>
          </m:e>
          <m:sub>
            <m:r>
              <m:t>3</m:t>
            </m:r>
          </m:sub>
        </m:sSub>
      </m:oMath>
      <w:r>
        <w:t xml:space="preserve"> </w:t>
      </w:r>
      <w:r>
        <w:t xml:space="preserve">(DAI trực tiếp) rồi</w:t>
      </w:r>
      <w:r>
        <w:t xml:space="preserve"> </w:t>
      </w:r>
      <m:oMath>
        <m:r>
          <m:t>0</m:t>
        </m:r>
      </m:oMath>
      <w:r>
        <w:t xml:space="preserve"> </w:t>
      </w:r>
      <w:r>
        <w:t xml:space="preserve">khi kiểm soát chọn lựa (nhất quán P3 Việt Nam IV null).</w:t>
      </w:r>
      <w:r>
        <w:t xml:space="preserve"> </w:t>
      </w:r>
      <w:r>
        <w:t xml:space="preserve">Lưu ý IV: trong mẫu con Nhóm IV, nếu có biến công cụ hợp lệ, chạy 2SLS để phân biệt DAI nhân quả vs. phụ thuộc chọn lựa.</w:t>
      </w:r>
    </w:p>
    <w:bookmarkEnd w:id="68"/>
    <w:bookmarkStart w:id="69" w:name="Xa11d8e594967f6dc9b7fd56ec467a6a3177254d"/>
    <w:p>
      <w:pPr>
        <w:pStyle w:val="Heading5"/>
      </w:pPr>
      <w:r>
        <w:t xml:space="preserve">M5: + Điều tiết nhà quản trị (kiểm định H4a/H4b/H4c)</w:t>
      </w:r>
    </w:p>
    <w:p>
      <w:pPr>
        <w:pStyle w:val="FirstParagraph"/>
      </w:pPr>
    </w:p>
    <w:p>
      <w:pPr>
        <w:pStyle w:val="BodyText"/>
      </w:pPr>
      <w:r>
        <w:t xml:space="preserve">Biến Manager theo thứ tự ưu tiên: exp_manager (b5, H4a), biến chính với kỳ vọng β₄ &gt; 0; educ_manager (b7a, H4b), biến phụ với kỳ vọng β₄ &gt; 0; gender_manager (b7, H4c), khám phá, kiểm định hai phía.</w:t>
      </w:r>
      <w:r>
        <w:t xml:space="preserve"> </w:t>
      </w:r>
      <w:r>
        <w:t xml:space="preserve">Kỳ vọng:</w:t>
      </w:r>
      <w:r>
        <w:t xml:space="preserve"> </w:t>
      </w:r>
      <m:oMath>
        <m:sSub>
          <m:e>
            <m:r>
              <m:t>β</m:t>
            </m:r>
          </m:e>
          <m:sub>
            <m:r>
              <m:t>4</m:t>
            </m:r>
          </m:sub>
        </m:sSub>
        <m:d>
          <m:dPr>
            <m:begChr m:val="("/>
            <m:endChr m:val=")"/>
            <m:sepChr m:val=""/>
            <m:grow/>
          </m:dPr>
          <m:e>
            <m:r>
              <m:rPr>
                <m:sty m:val="p"/>
              </m:rPr>
              <m:t>F</m:t>
            </m:r>
            <m:r>
              <m:rPr>
                <m:sty m:val="p"/>
              </m:rPr>
              <m:t>S</m:t>
            </m:r>
            <m:r>
              <m:rPr>
                <m:sty m:val="p"/>
              </m:rPr>
              <m:t>T</m:t>
            </m:r>
            <m:r>
              <m:rPr>
                <m:sty m:val="p"/>
              </m:rPr>
              <m:t>S</m:t>
            </m:r>
            <m:r>
              <m:rPr>
                <m:sty m:val="p"/>
              </m:rPr>
              <m:t>×</m:t>
            </m:r>
            <m:r>
              <m:rPr>
                <m:nor/>
                <m:sty m:val="p"/>
              </m:rPr>
              <m:t>exp_manager</m:t>
            </m:r>
          </m:e>
        </m:d>
        <m:r>
          <m:rPr>
            <m:sty m:val="p"/>
          </m:rPr>
          <m:t>&gt;</m:t>
        </m:r>
        <m:r>
          <m:t>0</m:t>
        </m:r>
      </m:oMath>
      <w:r>
        <w:t xml:space="preserve"> </w:t>
      </w:r>
      <w:r>
        <w:t xml:space="preserve">[H4a];</w:t>
      </w:r>
      <w:r>
        <w:t xml:space="preserve"> </w:t>
      </w:r>
      <m:oMath>
        <m:sSub>
          <m:e>
            <m:r>
              <m:t>β</m:t>
            </m:r>
          </m:e>
          <m:sub>
            <m:r>
              <m:t>4</m:t>
            </m:r>
          </m:sub>
        </m:sSub>
        <m:d>
          <m:dPr>
            <m:begChr m:val="("/>
            <m:endChr m:val=")"/>
            <m:sepChr m:val=""/>
            <m:grow/>
          </m:dPr>
          <m:e>
            <m:r>
              <m:rPr>
                <m:sty m:val="p"/>
              </m:rPr>
              <m:t>F</m:t>
            </m:r>
            <m:r>
              <m:rPr>
                <m:sty m:val="p"/>
              </m:rPr>
              <m:t>S</m:t>
            </m:r>
            <m:r>
              <m:rPr>
                <m:sty m:val="p"/>
              </m:rPr>
              <m:t>T</m:t>
            </m:r>
            <m:r>
              <m:rPr>
                <m:sty m:val="p"/>
              </m:rPr>
              <m:t>S</m:t>
            </m:r>
            <m:r>
              <m:rPr>
                <m:sty m:val="p"/>
              </m:rPr>
              <m:t>×</m:t>
            </m:r>
            <m:r>
              <m:rPr>
                <m:nor/>
                <m:sty m:val="p"/>
              </m:rPr>
              <m:t>educ_manager</m:t>
            </m:r>
          </m:e>
        </m:d>
        <m:r>
          <m:rPr>
            <m:sty m:val="p"/>
          </m:rPr>
          <m:t>&gt;</m:t>
        </m:r>
        <m:r>
          <m:t>0</m:t>
        </m:r>
      </m:oMath>
      <w:r>
        <w:t xml:space="preserve"> </w:t>
      </w:r>
      <w:r>
        <w:t xml:space="preserve">[H4b];</w:t>
      </w:r>
      <w:r>
        <w:t xml:space="preserve"> </w:t>
      </w:r>
      <m:oMath>
        <m:sSub>
          <m:e>
            <m:r>
              <m:t>β</m:t>
            </m:r>
          </m:e>
          <m:sub>
            <m:r>
              <m:t>4</m:t>
            </m:r>
          </m:sub>
        </m:sSub>
        <m:d>
          <m:dPr>
            <m:begChr m:val="("/>
            <m:endChr m:val=")"/>
            <m:sepChr m:val=""/>
            <m:grow/>
          </m:dPr>
          <m:e>
            <m:r>
              <m:rPr>
                <m:sty m:val="p"/>
              </m:rPr>
              <m:t>F</m:t>
            </m:r>
            <m:r>
              <m:rPr>
                <m:sty m:val="p"/>
              </m:rPr>
              <m:t>S</m:t>
            </m:r>
            <m:r>
              <m:rPr>
                <m:sty m:val="p"/>
              </m:rPr>
              <m:t>T</m:t>
            </m:r>
            <m:r>
              <m:rPr>
                <m:sty m:val="p"/>
              </m:rPr>
              <m:t>S</m:t>
            </m:r>
            <m:r>
              <m:rPr>
                <m:sty m:val="p"/>
              </m:rPr>
              <m:t>×</m:t>
            </m:r>
            <m:r>
              <m:rPr>
                <m:nor/>
                <m:sty m:val="p"/>
              </m:rPr>
              <m:t>gender_manager</m:t>
            </m:r>
          </m:e>
        </m:d>
      </m:oMath>
      <w:r>
        <w:t xml:space="preserve">, không có kỳ vọng tiên nghiệm [H4c].</w:t>
      </w:r>
    </w:p>
    <w:bookmarkEnd w:id="69"/>
    <w:bookmarkStart w:id="70" w:name="m6-chế-độ-thể-chế-icrv-kiểm-định-h5"/>
    <w:p>
      <w:pPr>
        <w:pStyle w:val="Heading5"/>
      </w:pPr>
      <w:r>
        <w:t xml:space="preserve">M6: + Chế độ thể chế ICRV (kiểm định H5)</w:t>
      </w:r>
    </w:p>
    <w:p>
      <w:pPr>
        <w:pStyle w:val="FirstParagraph"/>
      </w:pPr>
    </w:p>
    <w:p>
      <w:pPr>
        <w:pStyle w:val="BodyText"/>
      </w:pPr>
      <w:r>
        <w:t xml:space="preserve">Mục đích: kiểm định H5, phổ thể chế ICRV và gánh nặng bắt buộc (Nhóm VI).</w:t>
      </w:r>
      <w:r>
        <w:t xml:space="preserve"> </w:t>
      </w:r>
      <w:r>
        <w:t xml:space="preserve">Nhóm tham chiếu: Nhóm I (tiên tiến đổi mới).</w:t>
      </w:r>
      <w:r>
        <w:t xml:space="preserve"> </w:t>
      </w:r>
      <w:r>
        <w:t xml:space="preserve">Kỳ vọng: cấu trúc ba vùng: hệ số bậc hai âm và có ý nghĩa chỉ ở Nhóm IV (và biên ý nghĩa ở Nhóm II); không ý nghĩa ở Nhóm I, III, V; Nhóm VI không có chữ U ngược; Nhóm VI có β(FSTS×ICRV_VI) ≤ 0 (neo đậu P8: FIP β = −1,339, SE 0,386, p &lt; 0,001).</w:t>
      </w:r>
      <w:r>
        <w:t xml:space="preserve"> </w:t>
      </w:r>
      <w:r>
        <w:t xml:space="preserve">Lưu ý: Country FE bị omit trong M6 do ICRV_j là biến cấp quốc gia bất biến theo thời gian, thay bằng Year FE + Region FE (6 vùng).</w:t>
      </w:r>
    </w:p>
    <w:bookmarkEnd w:id="70"/>
    <w:bookmarkStart w:id="71" w:name="Xf830d1be5186ac8af15f5b67785ac8d9f713bf8"/>
    <w:p>
      <w:pPr>
        <w:pStyle w:val="Heading5"/>
      </w:pPr>
      <w:r>
        <w:t xml:space="preserve">M7: Điều tiết ba chiều tổng lực (kiểm định H2 + H3 + H6 đồng thời)</w:t>
      </w:r>
    </w:p>
    <w:p>
      <w:pPr>
        <w:pStyle w:val="FirstParagraph"/>
      </w:pPr>
    </w:p>
    <w:p>
      <w:pPr>
        <w:pStyle w:val="BodyText"/>
      </w:pPr>
      <w:r>
        <w:t xml:space="preserve">trong đó</w:t>
      </w:r>
      <w:r>
        <w:t xml:space="preserve"> </w:t>
      </w:r>
      <m:oMath>
        <m:sSub>
          <m:e>
            <m:r>
              <m:rPr>
                <m:sty m:val="b"/>
              </m:rPr>
              <m:t>X</m:t>
            </m:r>
          </m:e>
          <m:sub>
            <m:r>
              <m:t>i</m:t>
            </m:r>
          </m:sub>
        </m:sSub>
      </m:oMath>
      <w:r>
        <w:t xml:space="preserve"> </w:t>
      </w:r>
      <w:r>
        <w:t xml:space="preserve">gồm: ln_employees, firm_age, foreign_own (</w:t>
      </w:r>
      <m:oMath>
        <m:r>
          <m:rPr>
            <m:sty m:val="p"/>
          </m:rPr>
          <m:t>≥</m:t>
        </m:r>
        <m:r>
          <m:t>10</m:t>
        </m:r>
        <m:r>
          <m:rPr>
            <m:sty m:val="p"/>
          </m:rPr>
          <m:t>%</m:t>
        </m:r>
      </m:oMath>
      <w:r>
        <w:t xml:space="preserve">), sector dummies;</w:t>
      </w:r>
      <w:r>
        <w:t xml:space="preserve"> </w:t>
      </w:r>
      <m:oMath>
        <m:sSub>
          <m:e>
            <m:r>
              <m:t>α</m:t>
            </m:r>
          </m:e>
          <m:sub>
            <m:r>
              <m:t>j</m:t>
            </m:r>
          </m:sub>
        </m:sSub>
      </m:oMath>
      <w:r>
        <w:t xml:space="preserve"> </w:t>
      </w:r>
      <w:r>
        <w:t xml:space="preserve">= country FE;</w:t>
      </w:r>
      <w:r>
        <w:t xml:space="preserve"> </w:t>
      </w:r>
      <m:oMath>
        <m:sSub>
          <m:e>
            <m:r>
              <m:t>δ</m:t>
            </m:r>
          </m:e>
          <m:sub>
            <m:r>
              <m:t>t</m:t>
            </m:r>
          </m:sub>
        </m:sSub>
      </m:oMath>
      <w:r>
        <w:t xml:space="preserve"> </w:t>
      </w:r>
      <w:r>
        <w:t xml:space="preserve">= year FE.</w:t>
      </w:r>
    </w:p>
    <w:p>
      <w:pPr>
        <w:pStyle w:val="BodyText"/>
      </w:pPr>
      <w:r>
        <w:t xml:space="preserve">Mục đích: mô hình tổng lực kiểm định H2 (TCI), H3 (DAI), và H6 (thời gian) đồng thời.</w:t>
      </w:r>
      <w:r>
        <w:t xml:space="preserve"> </w:t>
      </w:r>
      <w:r>
        <w:t xml:space="preserve">Kỳ vọng trọng tâm:</w:t>
      </w:r>
      <w:r>
        <w:t xml:space="preserve"> </w:t>
      </w:r>
      <m:oMath>
        <m:sSub>
          <m:e>
            <m:r>
              <m:t>β</m:t>
            </m:r>
          </m:e>
          <m:sub>
            <m:r>
              <m:t>8</m:t>
            </m:r>
          </m:sub>
        </m:sSub>
        <m:d>
          <m:dPr>
            <m:begChr m:val="("/>
            <m:endChr m:val=")"/>
            <m:sepChr m:val=""/>
            <m:grow/>
          </m:dPr>
          <m:e>
            <m:sSup>
              <m:e>
                <m:r>
                  <m:rPr>
                    <m:sty m:val="p"/>
                  </m:rPr>
                  <m:t>F</m:t>
                </m:r>
                <m:r>
                  <m:rPr>
                    <m:sty m:val="p"/>
                  </m:rPr>
                  <m:t>S</m:t>
                </m:r>
                <m:r>
                  <m:rPr>
                    <m:sty m:val="p"/>
                  </m:rPr>
                  <m:t>T</m:t>
                </m:r>
                <m:r>
                  <m:rPr>
                    <m:sty m:val="p"/>
                  </m:rPr>
                  <m:t>S</m:t>
                </m:r>
              </m:e>
              <m:sup>
                <m:r>
                  <m:t>2</m:t>
                </m:r>
              </m:sup>
            </m:sSup>
            <m:r>
              <m:rPr>
                <m:sty m:val="p"/>
              </m:rPr>
              <m:t>×</m:t>
            </m:r>
            <m:r>
              <m:rPr>
                <m:sty m:val="p"/>
              </m:rPr>
              <m:t>D</m:t>
            </m:r>
            <m:r>
              <m:rPr>
                <m:sty m:val="p"/>
              </m:rPr>
              <m:t>A</m:t>
            </m:r>
            <m:r>
              <m:rPr>
                <m:sty m:val="p"/>
              </m:rPr>
              <m:t>I</m:t>
            </m:r>
          </m:e>
        </m:d>
        <m:r>
          <m:rPr>
            <m:sty m:val="p"/>
          </m:rPr>
          <m:t>&gt;</m:t>
        </m:r>
        <m:r>
          <m:t>0</m:t>
        </m:r>
      </m:oMath>
      <w:r>
        <w:t xml:space="preserve"> </w:t>
      </w:r>
      <w:r>
        <w:t xml:space="preserve">trong Nhóm I;</w:t>
      </w:r>
      <w:r>
        <w:t xml:space="preserve"> </w:t>
      </w:r>
      <m:oMath>
        <m:sSub>
          <m:e>
            <m:r>
              <m:t>β</m:t>
            </m:r>
          </m:e>
          <m:sub>
            <m:r>
              <m:t>3</m:t>
            </m:r>
          </m:sub>
        </m:sSub>
        <m:d>
          <m:dPr>
            <m:begChr m:val="("/>
            <m:endChr m:val=")"/>
            <m:sepChr m:val=""/>
            <m:grow/>
          </m:dPr>
          <m:e>
            <m:r>
              <m:rPr>
                <m:sty m:val="p"/>
              </m:rPr>
              <m:t>T</m:t>
            </m:r>
            <m:r>
              <m:rPr>
                <m:sty m:val="p"/>
              </m:rPr>
              <m:t>C</m:t>
            </m:r>
            <m:r>
              <m:rPr>
                <m:sty m:val="p"/>
              </m:rPr>
              <m:t>I</m:t>
            </m:r>
          </m:e>
        </m:d>
        <m:r>
          <m:rPr>
            <m:sty m:val="p"/>
          </m:rPr>
          <m:t>&gt;</m:t>
        </m:r>
        <m:r>
          <m:t>0</m:t>
        </m:r>
      </m:oMath>
      <w:r>
        <w:t xml:space="preserve">;</w:t>
      </w:r>
      <w:r>
        <w:t xml:space="preserve"> </w:t>
      </w:r>
      <m:oMath>
        <m:sSub>
          <m:e>
            <m:r>
              <m:t>β</m:t>
            </m:r>
          </m:e>
          <m:sub>
            <m:r>
              <m:t>12</m:t>
            </m:r>
          </m:sub>
        </m:sSub>
        <m:r>
          <m:rPr>
            <m:sty m:val="p"/>
          </m:rPr>
          <m:t>/</m:t>
        </m:r>
        <m:sSub>
          <m:e>
            <m:r>
              <m:t>β</m:t>
            </m:r>
          </m:e>
          <m:sub>
            <m:r>
              <m:t>13</m:t>
            </m:r>
          </m:sub>
        </m:sSub>
        <m:r>
          <m:rPr>
            <m:sty m:val="p"/>
          </m:rPr>
          <m:t>≠</m:t>
        </m:r>
        <m:sSub>
          <m:e>
            <m:r>
              <m:t>β</m:t>
            </m:r>
          </m:e>
          <m:sub>
            <m:r>
              <m:t>10</m:t>
            </m:r>
          </m:sub>
        </m:sSub>
        <m:r>
          <m:rPr>
            <m:sty m:val="p"/>
          </m:rPr>
          <m:t>/</m:t>
        </m:r>
        <m:sSub>
          <m:e>
            <m:r>
              <m:t>β</m:t>
            </m:r>
          </m:e>
          <m:sub>
            <m:r>
              <m:t>11</m:t>
            </m:r>
          </m:sub>
        </m:sSub>
      </m:oMath>
      <w:r>
        <w:t xml:space="preserve"> </w:t>
      </w:r>
      <w:r>
        <w:t xml:space="preserve">(dịch chuyển thời gian).</w:t>
      </w:r>
      <w:r>
        <w:t xml:space="preserve"> </w:t>
      </w:r>
      <w:r>
        <w:t xml:space="preserve">Yêu cầu mẫu: với k = 13 tham số trọng tâm + controls, n ≥ 5.000 cần thiết cho power &gt; 0,80 tại f² = 0,02, dễ dàng đáp ứng với mẫu gộp 88.869 (50 nền, gồm Nhật Bản).</w:t>
      </w:r>
    </w:p>
    <w:bookmarkEnd w:id="71"/>
    <w:bookmarkStart w:id="72" w:name="bảng-tổng-hợp-mô-hình"/>
    <w:p>
      <w:pPr>
        <w:pStyle w:val="Heading5"/>
      </w:pPr>
      <w:r>
        <w:t xml:space="preserve">Bảng tổng hợp mô hình</w:t>
      </w:r>
    </w:p>
    <w:p>
      <w:pPr>
        <w:pStyle w:val="FirstParagraph"/>
      </w:pPr>
      <w:r>
        <w:t xml:space="preserve">Bảng 2.7. Tám mô hình M0–M7, cấu trúc, giả thuyết kiểm định, và biến bổ sung.</w:t>
      </w:r>
    </w:p>
    <w:tbl>
      <w:tblPr>
        <w:tblStyle w:val="Table"/>
        <w:tblW w:type="pct" w:w="5000"/>
        <w:tblLook w:firstRow="1" w:lastRow="0" w:firstColumn="0" w:lastColumn="0" w:noHBand="0" w:noVBand="0" w:val="0020"/>
        <w:jc w:val="start"/>
      </w:tblPr>
      <w:tblGrid>
        <w:gridCol w:w="990"/>
        <w:gridCol w:w="3740"/>
        <w:gridCol w:w="1320"/>
        <w:gridCol w:w="1870"/>
      </w:tblGrid>
      <w:tr>
        <w:trPr>
          <w:tblHeader w:val="true"/>
        </w:trPr>
        <w:tc>
          <w:tcPr/>
          <w:p>
            <w:pPr>
              <w:pStyle w:val="Compact"/>
              <w:jc w:val="left"/>
            </w:pPr>
            <w:r>
              <w:t xml:space="preserve">Mô hình</w:t>
            </w:r>
          </w:p>
        </w:tc>
        <w:tc>
          <w:tcPr/>
          <w:p>
            <w:pPr>
              <w:pStyle w:val="Compact"/>
              <w:jc w:val="left"/>
            </w:pPr>
            <w:r>
              <w:t xml:space="preserve">Biến bổ sung so với mô hình trước</w:t>
            </w:r>
          </w:p>
        </w:tc>
        <w:tc>
          <w:tcPr/>
          <w:p>
            <w:pPr>
              <w:pStyle w:val="Compact"/>
              <w:jc w:val="left"/>
            </w:pPr>
            <w:r>
              <w:t xml:space="preserve">Giả thuyết</w:t>
            </w:r>
          </w:p>
        </w:tc>
        <w:tc>
          <w:tcPr/>
          <w:p>
            <w:pPr>
              <w:pStyle w:val="Compact"/>
              <w:jc w:val="left"/>
            </w:pPr>
            <w:r>
              <w:t xml:space="preserve">Kiểm định chính</w:t>
            </w:r>
          </w:p>
        </w:tc>
      </w:tr>
      <w:tr>
        <w:tc>
          <w:tcPr/>
          <w:p>
            <w:pPr>
              <w:pStyle w:val="Compact"/>
              <w:jc w:val="left"/>
            </w:pPr>
            <w:r>
              <w:t xml:space="preserve">M0</w:t>
            </w:r>
          </w:p>
        </w:tc>
        <w:tc>
          <w:tcPr/>
          <w:p>
            <w:pPr>
              <w:pStyle w:val="Compact"/>
              <w:jc w:val="left"/>
            </w:pPr>
            <w:r>
              <w:t xml:space="preserve">FSTS (tuyến tính)</w:t>
            </w:r>
          </w:p>
        </w:tc>
        <w:tc>
          <w:tcPr/>
          <w:p>
            <w:pPr>
              <w:pStyle w:val="Compact"/>
              <w:jc w:val="left"/>
            </w:pPr>
            <w:r>
              <w:t xml:space="preserve">Baseline</w:t>
            </w:r>
          </w:p>
        </w:tc>
        <w:tc>
          <w:tcPr/>
          <w:p>
            <w:pPr>
              <w:pStyle w:val="Compact"/>
              <w:jc w:val="left"/>
            </w:pPr>
            <m:oMath>
              <m:sSub>
                <m:e>
                  <m:r>
                    <m:t>β</m:t>
                  </m:r>
                </m:e>
                <m:sub>
                  <m:r>
                    <m:t>1</m:t>
                  </m:r>
                </m:sub>
              </m:sSub>
              <m:r>
                <m:rPr>
                  <m:sty m:val="p"/>
                </m:rPr>
                <m:t>&gt;</m:t>
              </m:r>
              <m:r>
                <m:t>0</m:t>
              </m:r>
            </m:oMath>
          </w:p>
        </w:tc>
      </w:tr>
      <w:tr>
        <w:tc>
          <w:tcPr/>
          <w:p>
            <w:pPr>
              <w:pStyle w:val="Compact"/>
              <w:jc w:val="left"/>
            </w:pPr>
            <w:r>
              <w:t xml:space="preserve">M1</w:t>
            </w:r>
          </w:p>
        </w:tc>
        <w:tc>
          <w:tcPr/>
          <w:p>
            <w:pPr>
              <w:pStyle w:val="Compact"/>
              <w:jc w:val="left"/>
            </w:pPr>
            <w:r>
              <w:t xml:space="preserve">+</w:t>
            </w:r>
            <w:r>
              <w:t xml:space="preserve"> </w:t>
            </w:r>
            <m:oMath>
              <m:sSup>
                <m:e>
                  <m:r>
                    <m:rPr>
                      <m:nor/>
                      <m:sty m:val="p"/>
                    </m:rPr>
                    <m:t>FSTS</m:t>
                  </m:r>
                </m:e>
                <m:sup>
                  <m:r>
                    <m:t>2</m:t>
                  </m:r>
                </m:sup>
              </m:sSup>
            </m:oMath>
          </w:p>
        </w:tc>
        <w:tc>
          <w:tcPr/>
          <w:p>
            <w:pPr>
              <w:pStyle w:val="Compact"/>
              <w:jc w:val="left"/>
            </w:pPr>
            <w:r>
              <w:t xml:space="preserve">H1 (chữ U ngược)</w:t>
            </w:r>
          </w:p>
        </w:tc>
        <w:tc>
          <w:tcPr/>
          <w:p>
            <w:pPr>
              <w:pStyle w:val="Compact"/>
              <w:jc w:val="left"/>
            </w:pPr>
            <m:oMath>
              <m:sSub>
                <m:e>
                  <m:r>
                    <m:t>β</m:t>
                  </m:r>
                </m:e>
                <m:sub>
                  <m:r>
                    <m:t>2</m:t>
                  </m:r>
                </m:sub>
              </m:sSub>
              <m:r>
                <m:rPr>
                  <m:sty m:val="p"/>
                </m:rPr>
                <m:t>&lt;</m:t>
              </m:r>
              <m:r>
                <m:t>0</m:t>
              </m:r>
            </m:oMath>
            <w:r>
              <w:t xml:space="preserve">; Lind–Mehlum</w:t>
            </w:r>
          </w:p>
        </w:tc>
      </w:tr>
      <w:tr>
        <w:tc>
          <w:tcPr/>
          <w:p>
            <w:pPr>
              <w:pStyle w:val="Compact"/>
              <w:jc w:val="left"/>
            </w:pPr>
            <w:r>
              <w:t xml:space="preserve">M2</w:t>
            </w:r>
          </w:p>
        </w:tc>
        <w:tc>
          <w:tcPr/>
          <w:p>
            <w:pPr>
              <w:pStyle w:val="Compact"/>
              <w:jc w:val="left"/>
            </w:pPr>
            <w:r>
              <w:t xml:space="preserve">+</w:t>
            </w:r>
            <w:r>
              <w:t xml:space="preserve"> </w:t>
            </w:r>
            <m:oMath>
              <m:sSup>
                <m:e>
                  <m:r>
                    <m:rPr>
                      <m:nor/>
                      <m:sty m:val="p"/>
                    </m:rPr>
                    <m:t>FSTS</m:t>
                  </m:r>
                </m:e>
                <m:sup>
                  <m:r>
                    <m:t>3</m:t>
                  </m:r>
                </m:sup>
              </m:sSup>
            </m:oMath>
          </w:p>
        </w:tc>
        <w:tc>
          <w:tcPr/>
          <w:p>
            <w:pPr>
              <w:pStyle w:val="Compact"/>
              <w:jc w:val="left"/>
            </w:pPr>
            <w:r>
              <w:t xml:space="preserve">H1 (chữ S)</w:t>
            </w:r>
          </w:p>
        </w:tc>
        <w:tc>
          <w:tcPr/>
          <w:p>
            <w:pPr>
              <w:pStyle w:val="Compact"/>
              <w:jc w:val="left"/>
            </w:pPr>
            <m:oMath>
              <m:sSub>
                <m:e>
                  <m:r>
                    <m:t>β</m:t>
                  </m:r>
                </m:e>
                <m:sub>
                  <m:r>
                    <m:t>3</m:t>
                  </m:r>
                </m:sub>
              </m:sSub>
              <m:r>
                <m:rPr>
                  <m:sty m:val="p"/>
                </m:rPr>
                <m:t>&gt;</m:t>
              </m:r>
              <m:r>
                <m:t>0</m:t>
              </m:r>
            </m:oMath>
            <w:r>
              <w:t xml:space="preserve">; F-test</w:t>
            </w:r>
            <w:r>
              <w:t xml:space="preserve"> </w:t>
            </w:r>
            <m:oMath>
              <m:sSub>
                <m:e>
                  <m:r>
                    <m:t>β</m:t>
                  </m:r>
                </m:e>
                <m:sub>
                  <m:r>
                    <m:t>3</m:t>
                  </m:r>
                </m:sub>
              </m:sSub>
              <m:r>
                <m:rPr>
                  <m:sty m:val="p"/>
                </m:rPr>
                <m:t>=</m:t>
              </m:r>
              <m:r>
                <m:t>0</m:t>
              </m:r>
            </m:oMath>
          </w:p>
        </w:tc>
      </w:tr>
      <w:tr>
        <w:tc>
          <w:tcPr/>
          <w:p>
            <w:pPr>
              <w:pStyle w:val="Compact"/>
              <w:jc w:val="left"/>
            </w:pPr>
            <w:r>
              <w:t xml:space="preserve">M3</w:t>
            </w:r>
          </w:p>
        </w:tc>
        <w:tc>
          <w:tcPr/>
          <w:p>
            <w:pPr>
              <w:pStyle w:val="Compact"/>
              <w:jc w:val="left"/>
            </w:pPr>
            <w:r>
              <w:t xml:space="preserve">+ TCI,</w:t>
            </w:r>
            <w:r>
              <w:t xml:space="preserve"> </w:t>
            </w:r>
            <m:oMath>
              <m:r>
                <m:rPr>
                  <m:nor/>
                  <m:sty m:val="p"/>
                </m:rPr>
                <m:t>FSTS</m:t>
              </m:r>
              <m:r>
                <m:rPr>
                  <m:sty m:val="p"/>
                </m:rPr>
                <m:t>×</m:t>
              </m:r>
              <m:r>
                <m:rPr>
                  <m:nor/>
                  <m:sty m:val="p"/>
                </m:rPr>
                <m:t>TCI</m:t>
              </m:r>
            </m:oMath>
            <w:r>
              <w:t xml:space="preserve">,</w:t>
            </w:r>
            <w:r>
              <w:t xml:space="preserve"> </w:t>
            </w:r>
            <m:oMath>
              <m:sSup>
                <m:e>
                  <m:r>
                    <m:rPr>
                      <m:nor/>
                      <m:sty m:val="p"/>
                    </m:rPr>
                    <m:t>FSTS</m:t>
                  </m:r>
                </m:e>
                <m:sup>
                  <m:r>
                    <m:t>2</m:t>
                  </m:r>
                </m:sup>
              </m:sSup>
              <m:r>
                <m:rPr>
                  <m:sty m:val="p"/>
                </m:rPr>
                <m:t>×</m:t>
              </m:r>
              <m:r>
                <m:rPr>
                  <m:nor/>
                  <m:sty m:val="p"/>
                </m:rPr>
                <m:t>TCI</m:t>
              </m:r>
            </m:oMath>
          </w:p>
        </w:tc>
        <w:tc>
          <w:tcPr/>
          <w:p>
            <w:pPr>
              <w:pStyle w:val="Compact"/>
              <w:jc w:val="left"/>
            </w:pPr>
            <w:r>
              <w:t xml:space="preserve">H2</w:t>
            </w:r>
          </w:p>
        </w:tc>
        <w:tc>
          <w:tcPr/>
          <w:p>
            <w:pPr>
              <w:pStyle w:val="Compact"/>
              <w:jc w:val="left"/>
            </w:pPr>
            <m:oMath>
              <m:sSub>
                <m:e>
                  <m:r>
                    <m:t>β</m:t>
                  </m:r>
                </m:e>
                <m:sub>
                  <m:r>
                    <m:t>3</m:t>
                  </m:r>
                </m:sub>
              </m:sSub>
              <m:r>
                <m:rPr>
                  <m:sty m:val="p"/>
                </m:rPr>
                <m:t>&gt;</m:t>
              </m:r>
              <m:r>
                <m:t>0</m:t>
              </m:r>
            </m:oMath>
            <w:r>
              <w:t xml:space="preserve">; F-test (</w:t>
            </w:r>
            <m:oMath>
              <m:sSub>
                <m:e>
                  <m:r>
                    <m:t>β</m:t>
                  </m:r>
                </m:e>
                <m:sub>
                  <m:r>
                    <m:t>4</m:t>
                  </m:r>
                </m:sub>
              </m:sSub>
              <m:r>
                <m:rPr>
                  <m:sty m:val="p"/>
                </m:rPr>
                <m:t>=</m:t>
              </m:r>
              <m:sSub>
                <m:e>
                  <m:r>
                    <m:t>β</m:t>
                  </m:r>
                </m:e>
                <m:sub>
                  <m:r>
                    <m:t>5</m:t>
                  </m:r>
                </m:sub>
              </m:sSub>
              <m:r>
                <m:rPr>
                  <m:sty m:val="p"/>
                </m:rPr>
                <m:t>=</m:t>
              </m:r>
              <m:r>
                <m:t>0</m:t>
              </m:r>
            </m:oMath>
            <w:r>
              <w:t xml:space="preserve">)</w:t>
            </w:r>
          </w:p>
        </w:tc>
      </w:tr>
      <w:tr>
        <w:tc>
          <w:tcPr/>
          <w:p>
            <w:pPr>
              <w:pStyle w:val="Compact"/>
              <w:jc w:val="left"/>
            </w:pPr>
            <w:r>
              <w:t xml:space="preserve">M4</w:t>
            </w:r>
          </w:p>
        </w:tc>
        <w:tc>
          <w:tcPr/>
          <w:p>
            <w:pPr>
              <w:pStyle w:val="Compact"/>
              <w:jc w:val="left"/>
            </w:pPr>
            <w:r>
              <w:t xml:space="preserve">+ DAI,</w:t>
            </w:r>
            <w:r>
              <w:t xml:space="preserve"> </w:t>
            </w:r>
            <m:oMath>
              <m:r>
                <m:rPr>
                  <m:nor/>
                  <m:sty m:val="p"/>
                </m:rPr>
                <m:t>FSTS</m:t>
              </m:r>
              <m:r>
                <m:rPr>
                  <m:sty m:val="p"/>
                </m:rPr>
                <m:t>×</m:t>
              </m:r>
              <m:r>
                <m:rPr>
                  <m:nor/>
                  <m:sty m:val="p"/>
                </m:rPr>
                <m:t>DAI</m:t>
              </m:r>
            </m:oMath>
            <w:r>
              <w:t xml:space="preserve">,</w:t>
            </w:r>
            <w:r>
              <w:t xml:space="preserve"> </w:t>
            </w:r>
            <m:oMath>
              <m:sSup>
                <m:e>
                  <m:r>
                    <m:rPr>
                      <m:nor/>
                      <m:sty m:val="p"/>
                    </m:rPr>
                    <m:t>FSTS</m:t>
                  </m:r>
                </m:e>
                <m:sup>
                  <m:r>
                    <m:t>2</m:t>
                  </m:r>
                </m:sup>
              </m:sSup>
              <m:r>
                <m:rPr>
                  <m:sty m:val="p"/>
                </m:rPr>
                <m:t>×</m:t>
              </m:r>
              <m:r>
                <m:rPr>
                  <m:nor/>
                  <m:sty m:val="p"/>
                </m:rPr>
                <m:t>DAI</m:t>
              </m:r>
            </m:oMath>
          </w:p>
        </w:tc>
        <w:tc>
          <w:tcPr/>
          <w:p>
            <w:pPr>
              <w:pStyle w:val="Compact"/>
              <w:jc w:val="left"/>
            </w:pPr>
            <w:r>
              <w:t xml:space="preserve">H3a/H3b</w:t>
            </w:r>
          </w:p>
        </w:tc>
        <w:tc>
          <w:tcPr/>
          <w:p>
            <w:pPr>
              <w:pStyle w:val="Compact"/>
              <w:jc w:val="left"/>
            </w:pPr>
            <w:r>
              <w:t xml:space="preserve">H3a:</w:t>
            </w:r>
            <w:r>
              <w:t xml:space="preserve"> </w:t>
            </w:r>
            <m:oMath>
              <m:r>
                <m:t>β</m:t>
              </m:r>
              <m:d>
                <m:dPr>
                  <m:begChr m:val="("/>
                  <m:endChr m:val=")"/>
                  <m:sepChr m:val=""/>
                  <m:grow/>
                </m:dPr>
                <m:e>
                  <m:r>
                    <m:rPr>
                      <m:nor/>
                      <m:sty m:val="p"/>
                    </m:rPr>
                    <m:t>FSTS</m:t>
                  </m:r>
                  <m:r>
                    <m:rPr>
                      <m:sty m:val="p"/>
                    </m:rPr>
                    <m:t>×</m:t>
                  </m:r>
                  <m:r>
                    <m:rPr>
                      <m:nor/>
                      <m:sty m:val="p"/>
                    </m:rPr>
                    <m:t>DAI</m:t>
                  </m:r>
                </m:e>
              </m:d>
              <m:r>
                <m:rPr>
                  <m:sty m:val="p"/>
                </m:rPr>
                <m:t>&gt;</m:t>
              </m:r>
              <m:r>
                <m:t>0</m:t>
              </m:r>
            </m:oMath>
            <w:r>
              <w:t xml:space="preserve"> </w:t>
            </w:r>
            <w:r>
              <w:t xml:space="preserve">Nhóm III–V; H3b:</w:t>
            </w:r>
            <w:r>
              <w:t xml:space="preserve"> </w:t>
            </w:r>
            <m:oMath>
              <m:r>
                <m:t>β</m:t>
              </m:r>
              <m:d>
                <m:dPr>
                  <m:begChr m:val="("/>
                  <m:endChr m:val=")"/>
                  <m:sepChr m:val=""/>
                  <m:grow/>
                </m:dPr>
                <m:e>
                  <m:sSup>
                    <m:e>
                      <m:r>
                        <m:rPr>
                          <m:nor/>
                          <m:sty m:val="p"/>
                        </m:rPr>
                        <m:t>FSTS</m:t>
                      </m:r>
                    </m:e>
                    <m:sup>
                      <m:r>
                        <m:t>2</m:t>
                      </m:r>
                    </m:sup>
                  </m:sSup>
                  <m:r>
                    <m:rPr>
                      <m:sty m:val="p"/>
                    </m:rPr>
                    <m:t>×</m:t>
                  </m:r>
                  <m:r>
                    <m:rPr>
                      <m:nor/>
                      <m:sty m:val="p"/>
                    </m:rPr>
                    <m:t>DAI</m:t>
                  </m:r>
                </m:e>
              </m:d>
              <m:r>
                <m:rPr>
                  <m:sty m:val="p"/>
                </m:rPr>
                <m:t>&gt;</m:t>
              </m:r>
              <m:r>
                <m:t>0</m:t>
              </m:r>
            </m:oMath>
            <w:r>
              <w:t xml:space="preserve"> </w:t>
            </w:r>
            <w:r>
              <w:t xml:space="preserve">ở FSTS cao Nhóm I</w:t>
            </w:r>
          </w:p>
        </w:tc>
      </w:tr>
      <w:tr>
        <w:tc>
          <w:tcPr/>
          <w:p>
            <w:pPr>
              <w:pStyle w:val="Compact"/>
              <w:jc w:val="left"/>
            </w:pPr>
            <w:r>
              <w:t xml:space="preserve">M5</w:t>
            </w:r>
          </w:p>
        </w:tc>
        <w:tc>
          <w:tcPr/>
          <w:p>
            <w:pPr>
              <w:pStyle w:val="Compact"/>
              <w:jc w:val="left"/>
            </w:pPr>
            <w:r>
              <w:t xml:space="preserve">+ Manager,</w:t>
            </w:r>
            <w:r>
              <w:t xml:space="preserve"> </w:t>
            </w:r>
            <m:oMath>
              <m:r>
                <m:rPr>
                  <m:nor/>
                  <m:sty m:val="p"/>
                </m:rPr>
                <m:t>FSTS</m:t>
              </m:r>
              <m:r>
                <m:rPr>
                  <m:sty m:val="p"/>
                </m:rPr>
                <m:t>×</m:t>
              </m:r>
              <m:r>
                <m:rPr>
                  <m:nor/>
                  <m:sty m:val="p"/>
                </m:rPr>
                <m:t>Manager</m:t>
              </m:r>
            </m:oMath>
          </w:p>
        </w:tc>
        <w:tc>
          <w:tcPr/>
          <w:p>
            <w:pPr>
              <w:pStyle w:val="Compact"/>
              <w:jc w:val="left"/>
            </w:pPr>
            <w:r>
              <w:t xml:space="preserve">H4a/H4b/H4c</w:t>
            </w:r>
          </w:p>
        </w:tc>
        <w:tc>
          <w:tcPr/>
          <w:p>
            <w:pPr>
              <w:pStyle w:val="Compact"/>
              <w:jc w:val="left"/>
            </w:pPr>
            <w:r>
              <w:t xml:space="preserve">H4a:</w:t>
            </w:r>
            <w:r>
              <w:t xml:space="preserve"> </w:t>
            </w:r>
            <m:oMath>
              <m:sSub>
                <m:e>
                  <m:r>
                    <m:t>β</m:t>
                  </m:r>
                </m:e>
                <m:sub>
                  <m:r>
                    <m:t>4</m:t>
                  </m:r>
                </m:sub>
              </m:sSub>
              <m:d>
                <m:dPr>
                  <m:begChr m:val="("/>
                  <m:endChr m:val=")"/>
                  <m:sepChr m:val=""/>
                  <m:grow/>
                </m:dPr>
                <m:e>
                  <m:r>
                    <m:rPr>
                      <m:nor/>
                      <m:sty m:val="p"/>
                    </m:rPr>
                    <m:t>FSTS</m:t>
                  </m:r>
                  <m:r>
                    <m:rPr>
                      <m:sty m:val="p"/>
                    </m:rPr>
                    <m:t>×</m:t>
                  </m:r>
                  <m:r>
                    <m:rPr>
                      <m:nor/>
                      <m:sty m:val="p"/>
                    </m:rPr>
                    <m:t>exp</m:t>
                  </m:r>
                </m:e>
              </m:d>
              <m:r>
                <m:rPr>
                  <m:sty m:val="p"/>
                </m:rPr>
                <m:t>&gt;</m:t>
              </m:r>
              <m:r>
                <m:t>0</m:t>
              </m:r>
            </m:oMath>
            <w:r>
              <w:t xml:space="preserve">; H4b:</w:t>
            </w:r>
            <w:r>
              <w:t xml:space="preserve"> </w:t>
            </w:r>
            <m:oMath>
              <m:sSub>
                <m:e>
                  <m:r>
                    <m:t>β</m:t>
                  </m:r>
                </m:e>
                <m:sub>
                  <m:r>
                    <m:t>4</m:t>
                  </m:r>
                </m:sub>
              </m:sSub>
              <m:d>
                <m:dPr>
                  <m:begChr m:val="("/>
                  <m:endChr m:val=")"/>
                  <m:sepChr m:val=""/>
                  <m:grow/>
                </m:dPr>
                <m:e>
                  <m:r>
                    <m:rPr>
                      <m:nor/>
                      <m:sty m:val="p"/>
                    </m:rPr>
                    <m:t>FSTS</m:t>
                  </m:r>
                  <m:r>
                    <m:rPr>
                      <m:sty m:val="p"/>
                    </m:rPr>
                    <m:t>×</m:t>
                  </m:r>
                  <m:r>
                    <m:rPr>
                      <m:nor/>
                      <m:sty m:val="p"/>
                    </m:rPr>
                    <m:t>educ</m:t>
                  </m:r>
                </m:e>
              </m:d>
              <m:r>
                <m:rPr>
                  <m:sty m:val="p"/>
                </m:rPr>
                <m:t>&gt;</m:t>
              </m:r>
              <m:r>
                <m:t>0</m:t>
              </m:r>
            </m:oMath>
            <w:r>
              <w:t xml:space="preserve">; H4c: hai phía</w:t>
            </w:r>
          </w:p>
        </w:tc>
      </w:tr>
      <w:tr>
        <w:tc>
          <w:tcPr/>
          <w:p>
            <w:pPr>
              <w:pStyle w:val="Compact"/>
              <w:jc w:val="left"/>
            </w:pPr>
            <w:r>
              <w:t xml:space="preserve">M6</w:t>
            </w:r>
          </w:p>
        </w:tc>
        <w:tc>
          <w:tcPr/>
          <w:p>
            <w:pPr>
              <w:pStyle w:val="Compact"/>
              <w:jc w:val="left"/>
            </w:pPr>
            <w:r>
              <w:t xml:space="preserve">+</w:t>
            </w:r>
            <w:r>
              <w:t xml:space="preserve"> </w:t>
            </w:r>
            <m:oMath>
              <m:sSub>
                <m:e>
                  <m:r>
                    <m:rPr>
                      <m:nor/>
                      <m:sty m:val="p"/>
                    </m:rPr>
                    <m:t>ICRV</m:t>
                  </m:r>
                </m:e>
                <m:sub>
                  <m:r>
                    <m:t>j</m:t>
                  </m:r>
                </m:sub>
              </m:sSub>
              <m:r>
                <m:rPr>
                  <m:sty m:val="p"/>
                </m:rPr>
                <m:t>×</m:t>
              </m:r>
              <m:r>
                <m:rPr>
                  <m:nor/>
                  <m:sty m:val="p"/>
                </m:rPr>
                <m:t>FSTS</m:t>
              </m:r>
            </m:oMath>
            <w:r>
              <w:t xml:space="preserve">,</w:t>
            </w:r>
            <w:r>
              <w:t xml:space="preserve"> </w:t>
            </w:r>
            <m:oMath>
              <m:sSub>
                <m:e>
                  <m:r>
                    <m:rPr>
                      <m:nor/>
                      <m:sty m:val="p"/>
                    </m:rPr>
                    <m:t>ICRV</m:t>
                  </m:r>
                </m:e>
                <m:sub>
                  <m:r>
                    <m:t>j</m:t>
                  </m:r>
                </m:sub>
              </m:sSub>
              <m:r>
                <m:rPr>
                  <m:sty m:val="p"/>
                </m:rPr>
                <m:t>×</m:t>
              </m:r>
              <m:sSup>
                <m:e>
                  <m:r>
                    <m:rPr>
                      <m:nor/>
                      <m:sty m:val="p"/>
                    </m:rPr>
                    <m:t>FSTS</m:t>
                  </m:r>
                </m:e>
                <m:sup>
                  <m:r>
                    <m:t>2</m:t>
                  </m:r>
                </m:sup>
              </m:sSup>
            </m:oMath>
          </w:p>
        </w:tc>
        <w:tc>
          <w:tcPr/>
          <w:p>
            <w:pPr>
              <w:pStyle w:val="Compact"/>
              <w:jc w:val="left"/>
            </w:pPr>
            <w:r>
              <w:t xml:space="preserve">H5</w:t>
            </w:r>
          </w:p>
        </w:tc>
        <w:tc>
          <w:tcPr/>
          <w:p>
            <w:pPr>
              <w:pStyle w:val="Compact"/>
              <w:jc w:val="left"/>
            </w:pPr>
            <w:r>
              <w:t xml:space="preserve">Phổ TP; gánh nặng bắt buộc Nhóm VI</w:t>
            </w:r>
          </w:p>
        </w:tc>
      </w:tr>
      <w:tr>
        <w:tc>
          <w:tcPr/>
          <w:p>
            <w:pPr>
              <w:pStyle w:val="Compact"/>
              <w:jc w:val="left"/>
            </w:pPr>
            <w:r>
              <w:t xml:space="preserve">M7</w:t>
            </w:r>
          </w:p>
        </w:tc>
        <w:tc>
          <w:tcPr/>
          <w:p>
            <w:pPr>
              <w:pStyle w:val="Compact"/>
              <w:jc w:val="left"/>
            </w:pPr>
            <w:r>
              <w:t xml:space="preserve">+</w:t>
            </w:r>
            <w:r>
              <w:t xml:space="preserve"> </w:t>
            </w:r>
            <m:oMath>
              <m:r>
                <m:rPr>
                  <m:nor/>
                  <m:sty m:val="p"/>
                </m:rPr>
                <m:t>TCI</m:t>
              </m:r>
              <m:r>
                <m:rPr>
                  <m:sty m:val="p"/>
                </m:rPr>
                <m:t>×</m:t>
              </m:r>
              <m:r>
                <m:rPr>
                  <m:nor/>
                  <m:sty m:val="p"/>
                </m:rPr>
                <m:t>DAI</m:t>
              </m:r>
              <m:r>
                <m:rPr>
                  <m:sty m:val="p"/>
                </m:rPr>
                <m:t>×</m:t>
              </m:r>
              <m:r>
                <m:rPr>
                  <m:nor/>
                  <m:sty m:val="p"/>
                </m:rPr>
                <m:t>FSTS</m:t>
              </m:r>
            </m:oMath>
            <w:r>
              <w:t xml:space="preserve">,</w:t>
            </w:r>
            <w:r>
              <w:t xml:space="preserve"> </w:t>
            </w:r>
            <m:oMath>
              <m:r>
                <m:rPr>
                  <m:nor/>
                  <m:sty m:val="p"/>
                </m:rPr>
                <m:t>Year_bucket</m:t>
              </m:r>
              <m:r>
                <m:rPr>
                  <m:sty m:val="p"/>
                </m:rPr>
                <m:t>×</m:t>
              </m:r>
              <m:r>
                <m:rPr>
                  <m:nor/>
                  <m:sty m:val="p"/>
                </m:rPr>
                <m:t>FSTS</m:t>
              </m:r>
            </m:oMath>
          </w:p>
        </w:tc>
        <w:tc>
          <w:tcPr/>
          <w:p>
            <w:pPr>
              <w:pStyle w:val="Compact"/>
              <w:jc w:val="left"/>
            </w:pPr>
            <w:r>
              <w:t xml:space="preserve">H2+H3+H6</w:t>
            </w:r>
          </w:p>
        </w:tc>
        <w:tc>
          <w:tcPr/>
          <w:p>
            <w:pPr>
              <w:pStyle w:val="Compact"/>
              <w:jc w:val="left"/>
            </w:pPr>
            <w:r>
              <w:t xml:space="preserve">F-test block ba chiều</w:t>
            </w:r>
          </w:p>
        </w:tc>
      </w:tr>
    </w:tbl>
    <w:bookmarkEnd w:id="72"/>
    <w:bookmarkEnd w:id="73"/>
    <w:bookmarkStart w:id="78" w:name="dữ-liệu-và-chiến-lược-nhận-dạng-nhân-quả"/>
    <w:p>
      <w:pPr>
        <w:pStyle w:val="Heading4"/>
      </w:pPr>
      <w:r>
        <w:t xml:space="preserve">2.3.6 Dữ liệu và chiến lược nhận dạng nhân quả</w:t>
      </w:r>
    </w:p>
    <w:bookmarkStart w:id="74" w:name="nguồn-dữ-liệu-và-cấu-trúc-mẫu-gộp"/>
    <w:p>
      <w:pPr>
        <w:pStyle w:val="Heading5"/>
      </w:pPr>
      <w:r>
        <w:t xml:space="preserve">Nguồn dữ liệu và cấu trúc mẫu gộp</w:t>
      </w:r>
    </w:p>
    <w:p>
      <w:pPr>
        <w:pStyle w:val="FirstParagraph"/>
      </w:pPr>
      <w:r>
        <w:t xml:space="preserve">Dữ liệu gốc: World Bank Enterprise Surveys (WBES), cơ sở dữ liệu điều tra vi mô doanh nghiệp lớn nhất thế giới, phủ hơn 170 quốc gia với hơn 400.000 cuộc phỏng vấn từ 2006 đến nay. WBES áp dụng phương pháp lấy mẫu ngẫu nhiên phân tầng theo quy mô doanh nghiệp và ngành.</w:t>
      </w:r>
    </w:p>
    <w:p>
      <w:pPr>
        <w:pStyle w:val="BodyText"/>
      </w:pPr>
      <w:r>
        <w:t xml:space="preserve">Mẫu gộp chuyên đề: khung 50 nền kinh tế châu Á và Thái Bình Dương (gồm Nhật Bản 2025), 88.869 doanh nghiệp, 103 cặp nền kinh tế–năm trong giai đoạn 2006–2026; mẫu hồi quy chính của vòng ước lượng chính thức: M2 N = 81.022, M5 N = 79.080.</w:t>
      </w:r>
    </w:p>
    <w:p>
      <w:pPr>
        <w:pStyle w:val="BodyText"/>
      </w:pPr>
      <w:r>
        <w:t xml:space="preserve">Bảng 2.8. Cấu trúc mẫu gộp theo nhóm ICRV và mốc khảo sát.</w:t>
      </w:r>
    </w:p>
    <w:tbl>
      <w:tblPr>
        <w:tblStyle w:val="Table"/>
        <w:tblW w:type="pct" w:w="5000"/>
        <w:tblLook w:firstRow="1" w:lastRow="0" w:firstColumn="0" w:lastColumn="0" w:noHBand="0" w:noVBand="0" w:val="0020"/>
        <w:jc w:val="start"/>
      </w:tblPr>
      <w:tblGrid>
        <w:gridCol w:w="1697"/>
        <w:gridCol w:w="1697"/>
        <w:gridCol w:w="2262"/>
        <w:gridCol w:w="2262"/>
      </w:tblGrid>
      <w:tr>
        <w:trPr>
          <w:tblHeader w:val="true"/>
        </w:trPr>
        <w:tc>
          <w:tcPr/>
          <w:p>
            <w:pPr>
              <w:pStyle w:val="Compact"/>
              <w:jc w:val="left"/>
            </w:pPr>
            <w:r>
              <w:t xml:space="preserve">ICRV Nhóm (icrv_label)</w:t>
            </w:r>
          </w:p>
        </w:tc>
        <w:tc>
          <w:tcPr/>
          <w:p>
            <w:pPr>
              <w:pStyle w:val="Compact"/>
              <w:jc w:val="left"/>
            </w:pPr>
            <w:r>
              <w:t xml:space="preserve">Nền kinh tế</w:t>
            </w:r>
          </w:p>
        </w:tc>
        <w:tc>
          <w:tcPr/>
          <w:p>
            <w:pPr>
              <w:pStyle w:val="Compact"/>
              <w:jc w:val="center"/>
            </w:pPr>
            <w:r>
              <w:t xml:space="preserve">Số nền</w:t>
            </w:r>
          </w:p>
        </w:tc>
        <w:tc>
          <w:tcPr/>
          <w:p>
            <w:pPr>
              <w:pStyle w:val="Compact"/>
              <w:jc w:val="center"/>
            </w:pPr>
            <w:r>
              <w:t xml:space="preserve">N doanh nghiệp</w:t>
            </w:r>
          </w:p>
        </w:tc>
      </w:tr>
      <w:tr>
        <w:tc>
          <w:tcPr/>
          <w:p>
            <w:pPr>
              <w:pStyle w:val="Compact"/>
              <w:jc w:val="left"/>
            </w:pPr>
            <w:r>
              <w:t xml:space="preserve">I, Adv. đổi mới (</w:t>
            </w:r>
            <w:r>
              <w:rPr>
                <w:rStyle w:val="VerbatimChar"/>
              </w:rPr>
              <w:t xml:space="preserve">Advanced_innovation</w:t>
            </w:r>
            <w:r>
              <w:t xml:space="preserve">)</w:t>
            </w:r>
          </w:p>
        </w:tc>
        <w:tc>
          <w:tcPr/>
          <w:p>
            <w:pPr>
              <w:pStyle w:val="Compact"/>
              <w:jc w:val="left"/>
            </w:pPr>
            <w:r>
              <w:t xml:space="preserve">Singapore, HongKong, Hàn Quốc, Đài Loan, Israel, Nhật Bản¹</w:t>
            </w:r>
          </w:p>
        </w:tc>
        <w:tc>
          <w:tcPr/>
          <w:p>
            <w:pPr>
              <w:pStyle w:val="Compact"/>
              <w:jc w:val="center"/>
            </w:pPr>
            <w:r>
              <w:t xml:space="preserve">6</w:t>
            </w:r>
          </w:p>
        </w:tc>
        <w:tc>
          <w:tcPr/>
          <w:p>
            <w:pPr>
              <w:pStyle w:val="Compact"/>
              <w:jc w:val="center"/>
            </w:pPr>
            <w:r>
              <w:t xml:space="preserve">6.390</w:t>
            </w:r>
          </w:p>
        </w:tc>
      </w:tr>
      <w:tr>
        <w:tc>
          <w:tcPr/>
          <w:p>
            <w:pPr>
              <w:pStyle w:val="Compact"/>
              <w:jc w:val="left"/>
            </w:pPr>
            <w:r>
              <w:t xml:space="preserve">II, Adv. tài nguyên (</w:t>
            </w:r>
            <w:r>
              <w:rPr>
                <w:rStyle w:val="VerbatimChar"/>
              </w:rPr>
              <w:t xml:space="preserve">Advanced_resource</w:t>
            </w:r>
            <w:r>
              <w:t xml:space="preserve">)</w:t>
            </w:r>
          </w:p>
        </w:tc>
        <w:tc>
          <w:tcPr/>
          <w:p>
            <w:pPr>
              <w:pStyle w:val="Compact"/>
              <w:jc w:val="left"/>
            </w:pPr>
            <w:r>
              <w:t xml:space="preserve">Saudi Arabia, Qatar, Kuwait, Bahrain, Brunei, Oman</w:t>
            </w:r>
          </w:p>
        </w:tc>
        <w:tc>
          <w:tcPr/>
          <w:p>
            <w:pPr>
              <w:pStyle w:val="Compact"/>
              <w:jc w:val="center"/>
            </w:pPr>
            <w:r>
              <w:t xml:space="preserve">6</w:t>
            </w:r>
          </w:p>
        </w:tc>
        <w:tc>
          <w:tcPr/>
          <w:p>
            <w:pPr>
              <w:pStyle w:val="Compact"/>
              <w:jc w:val="center"/>
            </w:pPr>
            <w:r>
              <w:t xml:space="preserve">2.231</w:t>
            </w:r>
          </w:p>
        </w:tc>
      </w:tr>
      <w:tr>
        <w:tc>
          <w:tcPr/>
          <w:p>
            <w:pPr>
              <w:pStyle w:val="Compact"/>
              <w:jc w:val="left"/>
            </w:pPr>
            <w:r>
              <w:t xml:space="preserve">III, Trung bình cao (</w:t>
            </w:r>
            <w:r>
              <w:rPr>
                <w:rStyle w:val="VerbatimChar"/>
              </w:rPr>
              <w:t xml:space="preserve">Upper_mid</w:t>
            </w:r>
            <w:r>
              <w:t xml:space="preserve">)</w:t>
            </w:r>
          </w:p>
        </w:tc>
        <w:tc>
          <w:tcPr/>
          <w:p>
            <w:pPr>
              <w:pStyle w:val="Compact"/>
              <w:jc w:val="left"/>
            </w:pPr>
            <w:r>
              <w:t xml:space="preserve">Trung Quốc, Malaysia, Thái Lan, Kazakhstan, Armenia, Georgia</w:t>
            </w:r>
          </w:p>
        </w:tc>
        <w:tc>
          <w:tcPr/>
          <w:p>
            <w:pPr>
              <w:pStyle w:val="Compact"/>
              <w:jc w:val="center"/>
            </w:pPr>
            <w:r>
              <w:t xml:space="preserve">6</w:t>
            </w:r>
          </w:p>
        </w:tc>
        <w:tc>
          <w:tcPr/>
          <w:p>
            <w:pPr>
              <w:pStyle w:val="Compact"/>
              <w:jc w:val="center"/>
            </w:pPr>
            <w:r>
              <w:t xml:space="preserve">13.993</w:t>
            </w:r>
          </w:p>
        </w:tc>
      </w:tr>
      <w:tr>
        <w:tc>
          <w:tcPr/>
          <w:p>
            <w:pPr>
              <w:pStyle w:val="Compact"/>
              <w:jc w:val="left"/>
            </w:pPr>
            <w:r>
              <w:t xml:space="preserve">IV, Chuyển đổi TB-thấp (</w:t>
            </w:r>
            <w:r>
              <w:rPr>
                <w:rStyle w:val="VerbatimChar"/>
              </w:rPr>
              <w:t xml:space="preserve">Lower_mid_transition</w:t>
            </w:r>
            <w:r>
              <w:t xml:space="preserve">)</w:t>
            </w:r>
          </w:p>
        </w:tc>
        <w:tc>
          <w:tcPr/>
          <w:p>
            <w:pPr>
              <w:pStyle w:val="Compact"/>
              <w:jc w:val="left"/>
            </w:pPr>
            <w:r>
              <w:t xml:space="preserve">Việt Nam, Ấn Độ, Indonesia, Philippines, Mông Cổ, Bangladesh, Pakistan</w:t>
            </w:r>
          </w:p>
        </w:tc>
        <w:tc>
          <w:tcPr/>
          <w:p>
            <w:pPr>
              <w:pStyle w:val="Compact"/>
              <w:jc w:val="center"/>
            </w:pPr>
            <w:r>
              <w:t xml:space="preserve">7</w:t>
            </w:r>
          </w:p>
        </w:tc>
        <w:tc>
          <w:tcPr/>
          <w:p>
            <w:pPr>
              <w:pStyle w:val="Compact"/>
              <w:jc w:val="center"/>
            </w:pPr>
            <w:r>
              <w:t xml:space="preserve">45.003</w:t>
            </w:r>
          </w:p>
        </w:tc>
      </w:tr>
      <w:tr>
        <w:tc>
          <w:tcPr/>
          <w:p>
            <w:pPr>
              <w:pStyle w:val="Compact"/>
              <w:jc w:val="left"/>
            </w:pPr>
            <w:r>
              <w:t xml:space="preserve">V, Đang nổi (</w:t>
            </w:r>
            <w:r>
              <w:rPr>
                <w:rStyle w:val="VerbatimChar"/>
              </w:rPr>
              <w:t xml:space="preserve">Emerging</w:t>
            </w:r>
            <w:r>
              <w:t xml:space="preserve">)</w:t>
            </w:r>
          </w:p>
        </w:tc>
        <w:tc>
          <w:tcPr/>
          <w:p>
            <w:pPr>
              <w:pStyle w:val="Compact"/>
              <w:jc w:val="left"/>
            </w:pPr>
            <w:r>
              <w:t xml:space="preserve">17 nền (gồm Sri Lanka, Jordan, Nepal, Cambodia, Laos, Uzbekistan…)</w:t>
            </w:r>
          </w:p>
        </w:tc>
        <w:tc>
          <w:tcPr/>
          <w:p>
            <w:pPr>
              <w:pStyle w:val="Compact"/>
              <w:jc w:val="center"/>
            </w:pPr>
            <w:r>
              <w:t xml:space="preserve">17</w:t>
            </w:r>
          </w:p>
        </w:tc>
        <w:tc>
          <w:tcPr/>
          <w:p>
            <w:pPr>
              <w:pStyle w:val="Compact"/>
              <w:jc w:val="center"/>
            </w:pPr>
            <w:r>
              <w:t xml:space="preserve">18.589</w:t>
            </w:r>
          </w:p>
        </w:tc>
      </w:tr>
      <w:tr>
        <w:tc>
          <w:tcPr/>
          <w:p>
            <w:pPr>
              <w:pStyle w:val="Compact"/>
              <w:jc w:val="left"/>
            </w:pPr>
            <w:r>
              <w:t xml:space="preserve">VI, SIDS (</w:t>
            </w:r>
            <w:r>
              <w:rPr>
                <w:rStyle w:val="VerbatimChar"/>
              </w:rPr>
              <w:t xml:space="preserve">SIDS_small</w:t>
            </w:r>
            <w:r>
              <w:t xml:space="preserve">)</w:t>
            </w:r>
          </w:p>
        </w:tc>
        <w:tc>
          <w:tcPr/>
          <w:p>
            <w:pPr>
              <w:pStyle w:val="Compact"/>
              <w:jc w:val="left"/>
            </w:pPr>
            <w:r>
              <w:t xml:space="preserve">Fiji, Kiribati, PNG, Samoa, Solomon, Tonga, Vanuatu, Timor-Leste</w:t>
            </w:r>
          </w:p>
        </w:tc>
        <w:tc>
          <w:tcPr/>
          <w:p>
            <w:pPr>
              <w:pStyle w:val="Compact"/>
              <w:jc w:val="center"/>
            </w:pPr>
            <w:r>
              <w:t xml:space="preserve">8</w:t>
            </w:r>
          </w:p>
        </w:tc>
        <w:tc>
          <w:tcPr/>
          <w:p>
            <w:pPr>
              <w:pStyle w:val="Compact"/>
              <w:jc w:val="center"/>
            </w:pPr>
            <w:r>
              <w:t xml:space="preserve">2.295</w:t>
            </w:r>
          </w:p>
        </w:tc>
      </w:tr>
      <w:tr>
        <w:tc>
          <w:tcPr/>
          <w:p>
            <w:pPr>
              <w:pStyle w:val="Compact"/>
              <w:jc w:val="left"/>
            </w:pPr>
            <w:r>
              <w:rPr>
                <w:bCs/>
                <w:b/>
              </w:rPr>
              <w:t xml:space="preserve">Tổng</w:t>
            </w:r>
          </w:p>
        </w:tc>
        <w:tc>
          <w:tcPr/>
          <w:p>
            <w:pPr>
              <w:pStyle w:val="Compact"/>
            </w:pPr>
          </w:p>
        </w:tc>
        <w:tc>
          <w:tcPr/>
          <w:p>
            <w:pPr>
              <w:pStyle w:val="Compact"/>
              <w:jc w:val="center"/>
            </w:pPr>
            <w:r>
              <w:rPr>
                <w:bCs/>
                <w:b/>
              </w:rPr>
              <w:t xml:space="preserve">50</w:t>
            </w:r>
          </w:p>
        </w:tc>
        <w:tc>
          <w:tcPr/>
          <w:p>
            <w:pPr>
              <w:pStyle w:val="Compact"/>
              <w:jc w:val="center"/>
            </w:pPr>
            <w:r>
              <w:rPr>
                <w:bCs/>
                <w:b/>
              </w:rPr>
              <w:t xml:space="preserve">88.869</w:t>
            </w:r>
            <w:r>
              <w:t xml:space="preserve"> </w:t>
            </w:r>
            <w:r>
              <w:t xml:space="preserve">(mẫu gộp mô tả; N hồi quy M2 = 81.022)</w:t>
            </w:r>
          </w:p>
        </w:tc>
      </w:tr>
    </w:tbl>
    <w:p>
      <w:pPr>
        <w:pStyle w:val="BodyText"/>
      </w:pPr>
      <w:r>
        <w:rPr>
          <w:iCs/>
          <w:i/>
        </w:rPr>
        <w:t xml:space="preserve">Ghi chú: ¹Nhật Bản được WBES khảo sát lần đầu năm 2025 (n=2.168) và là thành viên thứ sáu của Nhóm I trong khung 50 nền; vòng tái ước lượng 50 nền gồm Nhật Bản đã hoàn tất nên mô tả và ước lượng (P7) nay dùng chung MỘT khung 50 nền/88.869 quan sát (hồi quy M2 N=81.022; M5 N=79.080). Nhãn nhóm theo biến phân loại</w:t>
      </w:r>
      <w:r>
        <w:rPr>
          <w:iCs/>
          <w:i/>
        </w:rPr>
        <w:t xml:space="preserve"> </w:t>
      </w:r>
      <w:r>
        <w:rPr>
          <w:rStyle w:val="VerbatimChar"/>
          <w:iCs/>
          <w:i/>
        </w:rPr>
        <w:t xml:space="preserve">icrv_label</w:t>
      </w:r>
      <w:r>
        <w:rPr>
          <w:iCs/>
          <w:i/>
        </w:rPr>
        <w:t xml:space="preserve">, dùng thống nhất trong luận án và Chuyên đề 1, Nhóm IV</w:t>
      </w:r>
      <w:r>
        <w:rPr>
          <w:iCs/>
          <w:i/>
        </w:rPr>
        <w:t xml:space="preserve"> </w:t>
      </w:r>
      <w:r>
        <w:rPr>
          <w:rStyle w:val="VerbatimChar"/>
          <w:iCs/>
          <w:i/>
        </w:rPr>
        <w:t xml:space="preserve">Lower_mid_transition</w:t>
      </w:r>
      <w:r>
        <w:rPr>
          <w:iCs/>
          <w:i/>
        </w:rPr>
        <w:t xml:space="preserve"> </w:t>
      </w:r>
      <w:r>
        <w:rPr>
          <w:iCs/>
          <w:i/>
        </w:rPr>
        <w:t xml:space="preserve">(7 nền đông dân), Nhóm V</w:t>
      </w:r>
      <w:r>
        <w:rPr>
          <w:iCs/>
          <w:i/>
        </w:rPr>
        <w:t xml:space="preserve"> </w:t>
      </w:r>
      <w:r>
        <w:rPr>
          <w:rStyle w:val="VerbatimChar"/>
          <w:iCs/>
          <w:i/>
        </w:rPr>
        <w:t xml:space="preserve">Emerging</w:t>
      </w:r>
      <w:r>
        <w:rPr>
          <w:iCs/>
          <w:i/>
        </w:rPr>
        <w:t xml:space="preserve"> </w:t>
      </w:r>
      <w:r>
        <w:rPr>
          <w:iCs/>
          <w:i/>
        </w:rPr>
        <w:t xml:space="preserve">(17 nền), Nhóm VI</w:t>
      </w:r>
      <w:r>
        <w:rPr>
          <w:iCs/>
          <w:i/>
        </w:rPr>
        <w:t xml:space="preserve"> </w:t>
      </w:r>
      <w:r>
        <w:rPr>
          <w:rStyle w:val="VerbatimChar"/>
          <w:iCs/>
          <w:i/>
        </w:rPr>
        <w:t xml:space="preserve">SIDS_small</w:t>
      </w:r>
      <w:r>
        <w:rPr>
          <w:iCs/>
          <w:i/>
        </w:rPr>
        <w:t xml:space="preserve"> </w:t>
      </w:r>
      <w:r>
        <w:rPr>
          <w:iCs/>
          <w:i/>
        </w:rPr>
        <w:t xml:space="preserve">(8 nền). Nghiên cứu chuyên sâu SIDS (P8) lấy mẫu chính 7 nền Thái Bình Dương và kiểm định bền vững mở rộng 9 nền (thêm Comoros + Timor-Leste). Mẫu gộp phân loại đầy đủ = 96.415 DN/52 nền; loại 2 nền ngoài châu Á (Turkey, Cyprus) sang khung phân tích 50 nền Á–TBD (gồm Nhật Bản) = 88.869 DN.</w:t>
      </w:r>
    </w:p>
    <w:p>
      <w:pPr>
        <w:pStyle w:val="BodyText"/>
      </w:pPr>
      <w:r>
        <w:t xml:space="preserve">Ba thế hệ lược đồ WBES và giao thức hòa hợp: PICS3 (2006–2012): biến FSTS từ d3b/d3c; TCI từ h1/h8/b8; DAI từ c22b only. Standardized (2013–2017): biến tái định dạng nhưng tương thích. BREADY/BEE (2018–2025): lược đồ mở rộng; DAI đầy đủ (c22b + k33 + k38); phân hệ nhà quản trị chi tiết hơn.</w:t>
      </w:r>
    </w:p>
    <w:p>
      <w:pPr>
        <w:pStyle w:val="BodyText"/>
      </w:pPr>
      <w:r>
        <w:rPr>
          <w:iCs/>
          <w:i/>
        </w:rPr>
        <w:t xml:space="preserve">Ghi chú về trọng số khảo sát:</w:t>
      </w:r>
      <w:r>
        <w:t xml:space="preserve"> </w:t>
      </w:r>
      <w:r>
        <w:t xml:space="preserve">Chuyên đề không áp dụng trọng số mẫu WBES (</w:t>
      </w:r>
      <w:r>
        <w:rPr>
          <w:rStyle w:val="VerbatimChar"/>
        </w:rPr>
        <w:t xml:space="preserve">wt_final</w:t>
      </w:r>
      <w:r>
        <w:t xml:space="preserve">) trong các mô hình hồi quy vì ba lý do. Thứ nhất, mục tiêu phân tích là xác định hệ số quan hệ quốc tế hóa và hiệu quả tại cấp doanh nghiệp (conditional on observables), không phải ước lượng thống kê mô tả đại diện tổng thể. Thứ hai, hai chiều hiệu ứng cố định (quốc gia × năm) đã hấp thụ phần lớn biến thiên liên quan đến thiết kế lấy mẫu phân tầng. Thứ ba, tích hợp trọng số mẫu vào mô hình hiệu ứng cố định không đồng nhất gây phức tạp ước lượng mà không đem lại cải thiện tính hợp lệ nội tại (Solon et al., 2015). Phân tích độ nhạy với trọng số được đề xuất như kiểm định tương lai (xem Mục 2.4.2) để xác nhận tính vững của kết quả so với mẫu không có trọng số.</w:t>
      </w:r>
    </w:p>
    <w:p>
      <w:pPr>
        <w:pStyle w:val="BodyText"/>
      </w:pPr>
      <w:r>
        <w:t xml:space="preserve">Giao thức hòa hợp bao gồm: crosswalk biến giữa ba lược đồ; xử lý giá trị thiếu; loại bỏ ngoại lệ tại phân vị 1/99 trong cụm nền kinh tế × năm; và chuẩn hóa năng suất xuyên tiền tệ (xem dưới).</w:t>
      </w:r>
    </w:p>
    <w:bookmarkEnd w:id="74"/>
    <w:bookmarkStart w:id="75" w:name="đo-lường-biến-chi-tiết"/>
    <w:p>
      <w:pPr>
        <w:pStyle w:val="Heading5"/>
      </w:pPr>
      <w:r>
        <w:t xml:space="preserve">Đo lường biến chi tiết</w:t>
      </w:r>
    </w:p>
    <w:p>
      <w:pPr>
        <w:pStyle w:val="FirstParagraph"/>
      </w:pPr>
      <w:r>
        <w:t xml:space="preserve">Biến phụ thuộc, ln(LP):</w:t>
      </w:r>
    </w:p>
    <w:p>
      <w:pPr>
        <w:pStyle w:val="BodyText"/>
      </w:pPr>
      <m:oMathPara>
        <m:oMathParaPr>
          <m:jc m:val="center"/>
        </m:oMathParaPr>
        <m:oMath>
          <m:r>
            <m:rPr>
              <m:sty m:val="p"/>
            </m:rPr>
            <m:t>ln</m:t>
          </m:r>
          <m:sSub>
            <m:e>
              <m:d>
                <m:dPr>
                  <m:begChr m:val="("/>
                  <m:endChr m:val=")"/>
                  <m:sepChr m:val=""/>
                  <m:grow/>
                </m:dPr>
                <m:e>
                  <m:r>
                    <m:t>L</m:t>
                  </m:r>
                  <m:r>
                    <m:t>P</m:t>
                  </m:r>
                </m:e>
              </m:d>
            </m:e>
            <m:sub>
              <m:r>
                <m:t>i</m:t>
              </m:r>
            </m:sub>
          </m:sSub>
          <m:r>
            <m:rPr>
              <m:sty m:val="p"/>
            </m:rPr>
            <m:t>=</m:t>
          </m:r>
          <m:r>
            <m:rPr>
              <m:sty m:val="p"/>
            </m:rPr>
            <m:t>ln</m:t>
          </m:r>
          <m:d>
            <m:dPr>
              <m:begChr m:val="("/>
              <m:endChr m:val=")"/>
              <m:sepChr m:val=""/>
              <m:grow/>
            </m:dPr>
            <m:e>
              <m:f>
                <m:fPr>
                  <m:type m:val="bar"/>
                </m:fPr>
                <m:num>
                  <m:sSub>
                    <m:e>
                      <m:r>
                        <m:rPr>
                          <m:nor/>
                          <m:sty m:val="p"/>
                        </m:rPr>
                        <m:t>doanh thu hằng năm</m:t>
                      </m:r>
                    </m:e>
                    <m:sub>
                      <m:r>
                        <m:t>i</m:t>
                      </m:r>
                    </m:sub>
                  </m:sSub>
                </m:num>
                <m:den>
                  <m:sSub>
                    <m:e>
                      <m:r>
                        <m:rPr>
                          <m:nor/>
                          <m:sty m:val="p"/>
                        </m:rPr>
                        <m:t>lao động thường xuyên</m:t>
                      </m:r>
                    </m:e>
                    <m:sub>
                      <m:r>
                        <m:t>i</m:t>
                      </m:r>
                    </m:sub>
                  </m:sSub>
                </m:den>
              </m:f>
            </m:e>
          </m:d>
        </m:oMath>
      </m:oMathPara>
    </w:p>
    <w:p>
      <w:pPr>
        <w:pStyle w:val="FirstParagraph"/>
      </w:pPr>
      <w:r>
        <w:t xml:space="preserve">Doanh thu (d2) được báo cáo bằng</w:t>
      </w:r>
      <w:r>
        <w:t xml:space="preserve"> </w:t>
      </w:r>
      <w:r>
        <w:rPr>
          <w:bCs/>
          <w:b/>
        </w:rPr>
        <w:t xml:space="preserve">nội tệ</w:t>
      </w:r>
      <w:r>
        <w:t xml:space="preserve"> </w:t>
      </w:r>
      <w:r>
        <w:t xml:space="preserve">của từng nền kinh tế, nên mức</w:t>
      </w:r>
      <w:r>
        <w:t xml:space="preserve"> </w:t>
      </w:r>
      <m:oMath>
        <m:r>
          <m:rPr>
            <m:sty m:val="p"/>
          </m:rPr>
          <m:t>ln</m:t>
        </m:r>
        <m:d>
          <m:dPr>
            <m:begChr m:val="("/>
            <m:endChr m:val=")"/>
            <m:sepChr m:val=""/>
            <m:grow/>
          </m:dPr>
          <m:e>
            <m:r>
              <m:rPr>
                <m:sty m:val="p"/>
              </m:rPr>
              <m:t>L</m:t>
            </m:r>
            <m:r>
              <m:rPr>
                <m:sty m:val="p"/>
              </m:rPr>
              <m:t>P</m:t>
            </m:r>
          </m:e>
        </m:d>
      </m:oMath>
      <w:r>
        <w:t xml:space="preserve"> </w:t>
      </w:r>
      <w:r>
        <w:t xml:space="preserve">thô không so sánh được trực tiếp xuyên quốc gia. Để trung hòa khác biệt đơn vị tiền tệ và mặt bằng giá, năng suất lao động được</w:t>
      </w:r>
      <w:r>
        <w:t xml:space="preserve"> </w:t>
      </w:r>
      <w:r>
        <w:rPr>
          <w:bCs/>
          <w:b/>
        </w:rPr>
        <w:t xml:space="preserve">chuẩn hóa z trong từng cụm nền kinh tế × năm</w:t>
      </w:r>
      <w:r>
        <w:t xml:space="preserve"> </w:t>
      </w:r>
      <w:r>
        <w:t xml:space="preserve">trước khi đưa vào mô hình, và mọi mô hình đều có</w:t>
      </w:r>
      <w:r>
        <w:t xml:space="preserve"> </w:t>
      </w:r>
      <w:r>
        <w:rPr>
          <w:bCs/>
          <w:b/>
        </w:rPr>
        <w:t xml:space="preserve">hiệu ứng cố định hai chiều (nền kinh tế × năm)</w:t>
      </w:r>
      <w:r>
        <w:t xml:space="preserve"> </w:t>
      </w:r>
      <w:r>
        <w:t xml:space="preserve">hấp thụ toàn bộ thành phần bất biến theo nước (tiền tệ, mặt bằng giá, chế độ kế toán). Cách này bảo đảm hệ số quan hệ quốc tế hóa và hiệu quả được nhận dạng từ biến thiên</w:t>
      </w:r>
      <w:r>
        <w:t xml:space="preserve"> </w:t>
      </w:r>
      <w:r>
        <w:rPr>
          <w:iCs/>
          <w:i/>
        </w:rPr>
        <w:t xml:space="preserve">nội bộ</w:t>
      </w:r>
      <w:r>
        <w:t xml:space="preserve"> </w:t>
      </w:r>
      <w:r>
        <w:t xml:space="preserve">nền kinh tế–năm, nhất quán với Phụ lục A của luận án (Mục A.5) và nghiên cứu đa quốc gia P7. Mọi so sánh</w:t>
      </w:r>
      <w:r>
        <w:t xml:space="preserve"> </w:t>
      </w:r>
      <w:r>
        <w:rPr>
          <w:bCs/>
          <w:b/>
        </w:rPr>
        <w:t xml:space="preserve">mức</w:t>
      </w:r>
      <w:r>
        <w:t xml:space="preserve"> </w:t>
      </w:r>
      <w:r>
        <w:t xml:space="preserve">xuyên quốc gia dùng tỷ suất không thứ nguyên (ROS) hoặc giá trị đã hiệu chỉnh sức mua tương đương (PPP), không dùng mức</w:t>
      </w:r>
      <w:r>
        <w:t xml:space="preserve"> </w:t>
      </w:r>
      <m:oMath>
        <m:r>
          <m:rPr>
            <m:sty m:val="p"/>
          </m:rPr>
          <m:t>ln</m:t>
        </m:r>
        <m:d>
          <m:dPr>
            <m:begChr m:val="("/>
            <m:endChr m:val=")"/>
            <m:sepChr m:val=""/>
            <m:grow/>
          </m:dPr>
          <m:e>
            <m:r>
              <m:rPr>
                <m:sty m:val="p"/>
              </m:rPr>
              <m:t>L</m:t>
            </m:r>
            <m:r>
              <m:rPr>
                <m:sty m:val="p"/>
              </m:rPr>
              <m:t>P</m:t>
            </m:r>
          </m:e>
        </m:d>
      </m:oMath>
      <w:r>
        <w:t xml:space="preserve"> </w:t>
      </w:r>
      <w:r>
        <w:t xml:space="preserve">thô. Giá trị được cắt đuôi (winsorize) tại phân vị 1/99 trong cụm nền kinh tế × năm để giảm ảnh hưởng ngoại lệ. Lựa chọn năng suất lao động làm thước đo hiệu quả phù hợp với dữ liệu WBES (Combs et al., 2005; Cusolito &amp; Maloney, 2018; Richard et al., 2009).</w:t>
      </w:r>
    </w:p>
    <w:p>
      <w:pPr>
        <w:pStyle w:val="BodyText"/>
      </w:pPr>
      <w:r>
        <w:t xml:space="preserve">Biến độc lập, FSTS:</w:t>
      </w:r>
    </w:p>
    <w:p>
      <w:pPr>
        <w:pStyle w:val="BodyText"/>
      </w:pPr>
      <m:oMathPara>
        <m:oMathParaPr>
          <m:jc m:val="center"/>
        </m:oMathParaPr>
        <m:oMath>
          <m:r>
            <m:t>F</m:t>
          </m:r>
          <m:r>
            <m:t>S</m:t>
          </m:r>
          <m:r>
            <m:t>T</m:t>
          </m:r>
          <m:sSub>
            <m:e>
              <m:r>
                <m:t>S</m:t>
              </m:r>
            </m:e>
            <m:sub>
              <m:r>
                <m:t>i</m:t>
              </m:r>
            </m:sub>
          </m:sSub>
          <m:r>
            <m:rPr>
              <m:sty m:val="p"/>
            </m:rPr>
            <m:t>=</m:t>
          </m:r>
          <m:f>
            <m:fPr>
              <m:type m:val="bar"/>
            </m:fPr>
            <m:num>
              <m:sSub>
                <m:e>
                  <m:r>
                    <m:rPr>
                      <m:nor/>
                      <m:sty m:val="p"/>
                    </m:rPr>
                    <m:t>doanh thu xuất khẩu trực tiếp + gián tiếp</m:t>
                  </m:r>
                </m:e>
                <m:sub>
                  <m:r>
                    <m:t>i</m:t>
                  </m:r>
                </m:sub>
              </m:sSub>
            </m:num>
            <m:den>
              <m:sSub>
                <m:e>
                  <m:r>
                    <m:rPr>
                      <m:nor/>
                      <m:sty m:val="p"/>
                    </m:rPr>
                    <m:t>tổng doanh thu hằng năm</m:t>
                  </m:r>
                </m:e>
                <m:sub>
                  <m:r>
                    <m:t>i</m:t>
                  </m:r>
                </m:sub>
              </m:sSub>
            </m:den>
          </m:f>
          <m:r>
            <m:rPr>
              <m:sty m:val="p"/>
            </m:rPr>
            <m:t>=</m:t>
          </m:r>
          <m:f>
            <m:fPr>
              <m:type m:val="bar"/>
            </m:fPr>
            <m:num>
              <m:r>
                <m:t>d</m:t>
              </m:r>
              <m:r>
                <m:t>3</m:t>
              </m:r>
              <m:sSub>
                <m:e>
                  <m:r>
                    <m:t>b</m:t>
                  </m:r>
                </m:e>
                <m:sub>
                  <m:r>
                    <m:t>i</m:t>
                  </m:r>
                </m:sub>
              </m:sSub>
              <m:r>
                <m:rPr>
                  <m:sty m:val="p"/>
                </m:rPr>
                <m:t>+</m:t>
              </m:r>
              <m:r>
                <m:t>d</m:t>
              </m:r>
              <m:r>
                <m:t>3</m:t>
              </m:r>
              <m:sSub>
                <m:e>
                  <m:r>
                    <m:t>c</m:t>
                  </m:r>
                </m:e>
                <m:sub>
                  <m:r>
                    <m:t>i</m:t>
                  </m:r>
                </m:sub>
              </m:sSub>
            </m:num>
            <m:den>
              <m:r>
                <m:t>100</m:t>
              </m:r>
            </m:den>
          </m:f>
        </m:oMath>
      </m:oMathPara>
    </w:p>
    <w:p>
      <w:pPr>
        <w:pStyle w:val="FirstParagraph"/>
      </w:pPr>
      <w:r>
        <w:t xml:space="preserve">d3b là tỉ lệ phần trăm doanh thu xuất khẩu gián tiếp (qua trung gian) và d3c là xuất khẩu trực tiếp, theo nhãn biến chính thức WBES; tổng hai thành phần là định nghĩa tham gia xuất khẩu chuẩn của WBES, dùng thống nhất với khung ước lượng đa quốc gia của luận án (P7). FSTS_c = FSTS − mean(FSTS) trong mỗi ô sóng-quốc gia trước khi tính FSTS². Tỷ trọng doanh thu xuất khẩu là thước đo cường độ quốc tế hóa chuẩn của tài liệu quốc tế hóa và hiệu quả (Lu &amp; Beamish, 2001; Sullivan, 1994); hai nghiên cứu thành phần đơn quốc gia (P3 Việt Nam, P5 Trung Quốc) dùng riêng d3c với luận chứng kênh xuất khẩu trực tiếp/gián tiếp (Hessels &amp; Terjesen, 2010; Peng &amp; Ilinitch, 1998).</w:t>
      </w:r>
    </w:p>
    <w:p>
      <w:pPr>
        <w:pStyle w:val="BodyText"/>
      </w:pPr>
      <w:r>
        <w:t xml:space="preserve">Bảng 2.9. Đo lường TCI theo mã WBES.</w:t>
      </w:r>
    </w:p>
    <w:tbl>
      <w:tblPr>
        <w:tblStyle w:val="Table"/>
        <w:tblW w:type="pct" w:w="5000"/>
        <w:tblLook w:firstRow="1" w:lastRow="0" w:firstColumn="0" w:lastColumn="0" w:noHBand="0" w:noVBand="0" w:val="0020"/>
        <w:jc w:val="start"/>
      </w:tblPr>
      <w:tblGrid>
        <w:gridCol w:w="1284"/>
        <w:gridCol w:w="1926"/>
        <w:gridCol w:w="1498"/>
        <w:gridCol w:w="3210"/>
      </w:tblGrid>
      <w:tr>
        <w:trPr>
          <w:tblHeader w:val="true"/>
        </w:trPr>
        <w:tc>
          <w:tcPr/>
          <w:p>
            <w:pPr>
              <w:pStyle w:val="Compact"/>
              <w:jc w:val="left"/>
            </w:pPr>
            <w:r>
              <w:t xml:space="preserve">Item</w:t>
            </w:r>
          </w:p>
        </w:tc>
        <w:tc>
          <w:tcPr/>
          <w:p>
            <w:pPr>
              <w:pStyle w:val="Compact"/>
              <w:jc w:val="left"/>
            </w:pPr>
            <w:r>
              <w:t xml:space="preserve">Mã WBES</w:t>
            </w:r>
          </w:p>
        </w:tc>
        <w:tc>
          <w:tcPr/>
          <w:p>
            <w:pPr>
              <w:pStyle w:val="Compact"/>
              <w:jc w:val="left"/>
            </w:pPr>
            <w:r>
              <w:t xml:space="preserve">Mô tả</w:t>
            </w:r>
          </w:p>
        </w:tc>
        <w:tc>
          <w:tcPr/>
          <w:p>
            <w:pPr>
              <w:pStyle w:val="Compact"/>
              <w:jc w:val="left"/>
            </w:pPr>
            <w:r>
              <w:t xml:space="preserve">Schema có sẵn</w:t>
            </w:r>
          </w:p>
        </w:tc>
      </w:tr>
      <w:tr>
        <w:tc>
          <w:tcPr/>
          <w:p>
            <w:pPr>
              <w:pStyle w:val="Compact"/>
              <w:jc w:val="left"/>
            </w:pPr>
            <w:r>
              <w:t xml:space="preserve">Chứng nhận ISO</w:t>
            </w:r>
          </w:p>
        </w:tc>
        <w:tc>
          <w:tcPr/>
          <w:p>
            <w:pPr>
              <w:pStyle w:val="Compact"/>
              <w:jc w:val="left"/>
            </w:pPr>
            <w:r>
              <w:t xml:space="preserve">b8</w:t>
            </w:r>
          </w:p>
        </w:tc>
        <w:tc>
          <w:tcPr/>
          <w:p>
            <w:pPr>
              <w:pStyle w:val="Compact"/>
              <w:jc w:val="left"/>
            </w:pPr>
            <w:r>
              <w:t xml:space="preserve">Doanh nghiệp có chứng nhận ISO không? (nhị phân)</w:t>
            </w:r>
          </w:p>
        </w:tc>
        <w:tc>
          <w:tcPr/>
          <w:p>
            <w:pPr>
              <w:pStyle w:val="Compact"/>
              <w:jc w:val="left"/>
            </w:pPr>
            <w:r>
              <w:t xml:space="preserve">PICS3, Std, BEE</w:t>
            </w:r>
          </w:p>
        </w:tc>
      </w:tr>
      <w:tr>
        <w:tc>
          <w:tcPr/>
          <w:p>
            <w:pPr>
              <w:pStyle w:val="Compact"/>
              <w:jc w:val="left"/>
            </w:pPr>
            <w:r>
              <w:t xml:space="preserve">R&amp;D</w:t>
            </w:r>
          </w:p>
        </w:tc>
        <w:tc>
          <w:tcPr/>
          <w:p>
            <w:pPr>
              <w:pStyle w:val="Compact"/>
              <w:jc w:val="left"/>
            </w:pPr>
            <w:r>
              <w:t xml:space="preserve">h8</w:t>
            </w:r>
          </w:p>
        </w:tc>
        <w:tc>
          <w:tcPr/>
          <w:p>
            <w:pPr>
              <w:pStyle w:val="Compact"/>
              <w:jc w:val="left"/>
            </w:pPr>
            <w:r>
              <w:t xml:space="preserve">Có thực hiện R&amp;D nội bộ không? (nhị phân)</w:t>
            </w:r>
          </w:p>
        </w:tc>
        <w:tc>
          <w:tcPr/>
          <w:p>
            <w:pPr>
              <w:pStyle w:val="Compact"/>
              <w:jc w:val="left"/>
            </w:pPr>
            <w:r>
              <w:t xml:space="preserve">PICS3, Std, BEE</w:t>
            </w:r>
          </w:p>
        </w:tc>
      </w:tr>
      <w:tr>
        <w:tc>
          <w:tcPr/>
          <w:p>
            <w:pPr>
              <w:pStyle w:val="Compact"/>
              <w:jc w:val="left"/>
            </w:pPr>
            <w:r>
              <w:t xml:space="preserve">Đổi mới sản phẩm</w:t>
            </w:r>
          </w:p>
        </w:tc>
        <w:tc>
          <w:tcPr/>
          <w:p>
            <w:pPr>
              <w:pStyle w:val="Compact"/>
              <w:jc w:val="left"/>
            </w:pPr>
            <w:r>
              <w:t xml:space="preserve">h1</w:t>
            </w:r>
          </w:p>
        </w:tc>
        <w:tc>
          <w:tcPr/>
          <w:p>
            <w:pPr>
              <w:pStyle w:val="Compact"/>
              <w:jc w:val="left"/>
            </w:pPr>
            <w:r>
              <w:t xml:space="preserve">Đã ra sản phẩm/dịch vụ mới 3 năm qua? (nhị phân)</w:t>
            </w:r>
          </w:p>
        </w:tc>
        <w:tc>
          <w:tcPr/>
          <w:p>
            <w:pPr>
              <w:pStyle w:val="Compact"/>
              <w:jc w:val="left"/>
            </w:pPr>
            <w:r>
              <w:t xml:space="preserve">PICS3, Std, BEE</w:t>
            </w:r>
          </w:p>
        </w:tc>
      </w:tr>
      <w:tr>
        <w:tc>
          <w:tcPr/>
          <w:p>
            <w:pPr>
              <w:pStyle w:val="Compact"/>
              <w:jc w:val="left"/>
            </w:pPr>
            <w:r>
              <w:t xml:space="preserve">Công nghệ nước ngoài</w:t>
            </w:r>
          </w:p>
        </w:tc>
        <w:tc>
          <w:tcPr/>
          <w:p>
            <w:pPr>
              <w:pStyle w:val="Compact"/>
              <w:jc w:val="left"/>
            </w:pPr>
            <w:r>
              <w:t xml:space="preserve">e6</w:t>
            </w:r>
          </w:p>
        </w:tc>
        <w:tc>
          <w:tcPr/>
          <w:p>
            <w:pPr>
              <w:pStyle w:val="Compact"/>
              <w:jc w:val="left"/>
            </w:pPr>
            <w:r>
              <w:t xml:space="preserve">Sử dụng công nghệ nước ngoài có bản quyền? (nhị phân)</w:t>
            </w:r>
          </w:p>
        </w:tc>
        <w:tc>
          <w:tcPr/>
          <w:p>
            <w:pPr>
              <w:pStyle w:val="Compact"/>
              <w:jc w:val="left"/>
            </w:pPr>
            <w:r>
              <w:t xml:space="preserve">PICS3, Std, BEE</w:t>
            </w:r>
          </w:p>
        </w:tc>
      </w:tr>
    </w:tbl>
    <w:p>
      <w:pPr>
        <w:pStyle w:val="BodyText"/>
      </w:pPr>
      <w:r>
        <w:t xml:space="preserve">TCI_z = z-chuẩn hóa mean của ≥3/4 items không thiếu (Cronbach α ước tính 0,55–0,65, nhất quán với tổng hợp formative, Coltman et al., 2008). Construct phản ánh chiều sâu năng lực công nghệ nội tại theo truyền thống năng lực hấp thụ và năng lực công nghệ hóa công nghiệp (Cohen &amp; Levinthal, 1990; Lall, 1992).</w:t>
      </w:r>
    </w:p>
    <w:p>
      <w:pPr>
        <w:pStyle w:val="BlockText"/>
      </w:pPr>
      <w:r>
        <w:rPr>
          <w:iCs/>
          <w:i/>
        </w:rPr>
        <w:t xml:space="preserve">Lưu ý phân biệt biến thể TCI:</w:t>
      </w:r>
      <w:r>
        <w:t xml:space="preserve"> </w:t>
      </w:r>
      <w:r>
        <w:t xml:space="preserve">Chuyên đề 2 dùng biến thể</w:t>
      </w:r>
      <w:r>
        <w:t xml:space="preserve"> </w:t>
      </w:r>
      <w:r>
        <w:rPr>
          <w:bCs/>
          <w:b/>
        </w:rPr>
        <w:t xml:space="preserve">đầy đủ 4 mục</w:t>
      </w:r>
      <w:r>
        <w:t xml:space="preserve"> </w:t>
      </w:r>
      <w:r>
        <w:t xml:space="preserve">(≥3/4 của b8, h8, h1, e6) khả dụng trên mẫu gộp mô tả; trong khi nghiên cứu đa quốc gia P7 và Mục 3.4.5.4 của luận án dùng biến thể</w:t>
      </w:r>
      <w:r>
        <w:t xml:space="preserve"> </w:t>
      </w:r>
      <w:r>
        <w:rPr>
          <w:bCs/>
          <w:b/>
        </w:rPr>
        <w:t xml:space="preserve">thin 2 mục</w:t>
      </w:r>
      <w:r>
        <w:t xml:space="preserve"> </w:t>
      </w:r>
      <w:r>
        <w:t xml:space="preserve">(b8 chứng chỉ chất lượng + e6 công nghệ nước ngoài) để tối đa hóa độ phủ trên 50 nền kinh tế. Cả hai cùng đo construct formative</w:t>
      </w:r>
      <w:r>
        <w:t xml:space="preserve"> </w:t>
      </w:r>
      <w:r>
        <w:rPr>
          <w:iCs/>
          <w:i/>
        </w:rPr>
        <w:t xml:space="preserve">năng lực công nghệ</w:t>
      </w:r>
      <w:r>
        <w:t xml:space="preserve">; khác biệt về bộ mục phản ánh ràng buộc khả dụng dữ liệu, không phải định nghĩa mâu thuẫn. Hệ số trong chuyên đề được tính từ chính bộ 4 mục này.</w:t>
      </w:r>
    </w:p>
    <w:p>
      <w:pPr>
        <w:pStyle w:val="FirstParagraph"/>
      </w:pPr>
      <w:r>
        <w:t xml:space="preserve">Bảng 2.10. Đo lường DAI theo mã WBES.</w:t>
      </w:r>
    </w:p>
    <w:tbl>
      <w:tblPr>
        <w:tblStyle w:val="Table"/>
        <w:tblW w:type="pct" w:w="5000"/>
        <w:tblLook w:firstRow="1" w:lastRow="0" w:firstColumn="0" w:lastColumn="0" w:noHBand="0" w:noVBand="0" w:val="0020"/>
        <w:jc w:val="start"/>
      </w:tblPr>
      <w:tblGrid>
        <w:gridCol w:w="1284"/>
        <w:gridCol w:w="1926"/>
        <w:gridCol w:w="1498"/>
        <w:gridCol w:w="3210"/>
      </w:tblGrid>
      <w:tr>
        <w:trPr>
          <w:tblHeader w:val="true"/>
        </w:trPr>
        <w:tc>
          <w:tcPr/>
          <w:p>
            <w:pPr>
              <w:pStyle w:val="Compact"/>
              <w:jc w:val="left"/>
            </w:pPr>
            <w:r>
              <w:t xml:space="preserve">Item</w:t>
            </w:r>
          </w:p>
        </w:tc>
        <w:tc>
          <w:tcPr/>
          <w:p>
            <w:pPr>
              <w:pStyle w:val="Compact"/>
              <w:jc w:val="left"/>
            </w:pPr>
            <w:r>
              <w:t xml:space="preserve">Mã WBES</w:t>
            </w:r>
          </w:p>
        </w:tc>
        <w:tc>
          <w:tcPr/>
          <w:p>
            <w:pPr>
              <w:pStyle w:val="Compact"/>
              <w:jc w:val="left"/>
            </w:pPr>
            <w:r>
              <w:t xml:space="preserve">Mô tả</w:t>
            </w:r>
          </w:p>
        </w:tc>
        <w:tc>
          <w:tcPr/>
          <w:p>
            <w:pPr>
              <w:pStyle w:val="Compact"/>
              <w:jc w:val="left"/>
            </w:pPr>
            <w:r>
              <w:t xml:space="preserve">Schema có sẵn</w:t>
            </w:r>
          </w:p>
        </w:tc>
      </w:tr>
      <w:tr>
        <w:tc>
          <w:tcPr/>
          <w:p>
            <w:pPr>
              <w:pStyle w:val="Compact"/>
              <w:jc w:val="left"/>
            </w:pPr>
            <w:r>
              <w:t xml:space="preserve">Có website</w:t>
            </w:r>
          </w:p>
        </w:tc>
        <w:tc>
          <w:tcPr/>
          <w:p>
            <w:pPr>
              <w:pStyle w:val="Compact"/>
              <w:jc w:val="left"/>
            </w:pPr>
            <w:r>
              <w:t xml:space="preserve">c22b</w:t>
            </w:r>
          </w:p>
        </w:tc>
        <w:tc>
          <w:tcPr/>
          <w:p>
            <w:pPr>
              <w:pStyle w:val="Compact"/>
              <w:jc w:val="left"/>
            </w:pPr>
            <w:r>
              <w:t xml:space="preserve">Doanh nghiệp có website không? (nhị phân)</w:t>
            </w:r>
          </w:p>
        </w:tc>
        <w:tc>
          <w:tcPr/>
          <w:p>
            <w:pPr>
              <w:pStyle w:val="Compact"/>
              <w:jc w:val="left"/>
            </w:pPr>
            <w:r>
              <w:t xml:space="preserve">PICS3, Std, BEE</w:t>
            </w:r>
          </w:p>
        </w:tc>
      </w:tr>
      <w:tr>
        <w:tc>
          <w:tcPr/>
          <w:p>
            <w:pPr>
              <w:pStyle w:val="Compact"/>
              <w:jc w:val="left"/>
            </w:pPr>
            <w:r>
              <w:t xml:space="preserve">Thanh toán điện tử khách hàng</w:t>
            </w:r>
          </w:p>
        </w:tc>
        <w:tc>
          <w:tcPr/>
          <w:p>
            <w:pPr>
              <w:pStyle w:val="Compact"/>
              <w:jc w:val="left"/>
            </w:pPr>
            <w:r>
              <w:t xml:space="preserve">k33</w:t>
            </w:r>
          </w:p>
        </w:tc>
        <w:tc>
          <w:tcPr/>
          <w:p>
            <w:pPr>
              <w:pStyle w:val="Compact"/>
              <w:jc w:val="left"/>
            </w:pPr>
            <w:r>
              <w:t xml:space="preserve">% doanh thu thu qua e-payment (liên tục)</w:t>
            </w:r>
          </w:p>
        </w:tc>
        <w:tc>
          <w:tcPr/>
          <w:p>
            <w:pPr>
              <w:pStyle w:val="Compact"/>
              <w:jc w:val="left"/>
            </w:pPr>
            <w:r>
              <w:t xml:space="preserve">BEE only</w:t>
            </w:r>
          </w:p>
        </w:tc>
      </w:tr>
      <w:tr>
        <w:tc>
          <w:tcPr/>
          <w:p>
            <w:pPr>
              <w:pStyle w:val="Compact"/>
              <w:jc w:val="left"/>
            </w:pPr>
            <w:r>
              <w:t xml:space="preserve">Thanh toán điện tử nhà cung cấp</w:t>
            </w:r>
          </w:p>
        </w:tc>
        <w:tc>
          <w:tcPr/>
          <w:p>
            <w:pPr>
              <w:pStyle w:val="Compact"/>
              <w:jc w:val="left"/>
            </w:pPr>
            <w:r>
              <w:t xml:space="preserve">k38</w:t>
            </w:r>
          </w:p>
        </w:tc>
        <w:tc>
          <w:tcPr/>
          <w:p>
            <w:pPr>
              <w:pStyle w:val="Compact"/>
              <w:jc w:val="left"/>
            </w:pPr>
            <w:r>
              <w:t xml:space="preserve">% mua hàng thanh toán qua e-payment</w:t>
            </w:r>
          </w:p>
        </w:tc>
        <w:tc>
          <w:tcPr/>
          <w:p>
            <w:pPr>
              <w:pStyle w:val="Compact"/>
              <w:jc w:val="left"/>
            </w:pPr>
            <w:r>
              <w:t xml:space="preserve">BEE only</w:t>
            </w:r>
          </w:p>
        </w:tc>
      </w:tr>
    </w:tbl>
    <w:p>
      <w:pPr>
        <w:pStyle w:val="BodyText"/>
      </w:pPr>
      <w:r>
        <w:t xml:space="preserve">DAI_z_full (Bậc 1+2): z-mean(c22b + k33 + k38), chỉ có trong lược đồ BEE (2019 trở đi).</w:t>
      </w:r>
      <w:r>
        <w:t xml:space="preserve"> </w:t>
      </w:r>
      <w:r>
        <w:t xml:space="preserve">DAI_z_tier1 (Bậc 1 only): z-mean(c22b), có xuyên tất cả lược đồ. Phân tầng đo lường số hóa theo Verhoef et al. (2021); vai trò công cụ số trong quốc tế hóa theo Banalieva &amp; Dhanaraj (2019).</w:t>
      </w:r>
    </w:p>
    <w:p>
      <w:pPr>
        <w:pStyle w:val="BodyText"/>
      </w:pPr>
      <w:r>
        <w:t xml:space="preserve">Chiến lược đo lường DAI: sử dụng DAI_z_full làm biến chính trong mẫu con BEE; DAI_z_tier1 cho so sánh xuyên lược đồ và kiểm định độ vững.</w:t>
      </w:r>
    </w:p>
    <w:bookmarkEnd w:id="75"/>
    <w:bookmarkStart w:id="76" w:name="phân-loại-icrv-6-nhóm"/>
    <w:p>
      <w:pPr>
        <w:pStyle w:val="Heading5"/>
      </w:pPr>
      <w:r>
        <w:t xml:space="preserve">Phân loại ICRV 6 nhóm</w:t>
      </w:r>
    </w:p>
    <w:p>
      <w:pPr>
        <w:pStyle w:val="FirstParagraph"/>
      </w:pPr>
      <w:r>
        <w:t xml:space="preserve">Bảng 2.11. Phân loại 50 nền kinh tế theo ICRV, đặc điểm và tiêu chí.</w:t>
      </w:r>
    </w:p>
    <w:tbl>
      <w:tblPr>
        <w:tblStyle w:val="Table"/>
        <w:tblW w:type="pct" w:w="5000"/>
        <w:tblLook w:firstRow="1" w:lastRow="0" w:firstColumn="0" w:lastColumn="0" w:noHBand="0" w:noVBand="0" w:val="0020"/>
        <w:jc w:val="start"/>
      </w:tblPr>
      <w:tblGrid>
        <w:gridCol w:w="2292"/>
        <w:gridCol w:w="1250"/>
        <w:gridCol w:w="1875"/>
        <w:gridCol w:w="2501"/>
      </w:tblGrid>
      <w:tr>
        <w:trPr>
          <w:tblHeader w:val="true"/>
        </w:trPr>
        <w:tc>
          <w:tcPr/>
          <w:p>
            <w:pPr>
              <w:pStyle w:val="Compact"/>
              <w:jc w:val="left"/>
            </w:pPr>
            <w:r>
              <w:t xml:space="preserve">Nhóm ICRV</w:t>
            </w:r>
          </w:p>
        </w:tc>
        <w:tc>
          <w:tcPr/>
          <w:p>
            <w:pPr>
              <w:pStyle w:val="Compact"/>
              <w:jc w:val="left"/>
            </w:pPr>
            <w:r>
              <w:t xml:space="preserve">Nhãn</w:t>
            </w:r>
          </w:p>
        </w:tc>
        <w:tc>
          <w:tcPr/>
          <w:p>
            <w:pPr>
              <w:pStyle w:val="Compact"/>
              <w:jc w:val="left"/>
            </w:pPr>
            <w:r>
              <w:t xml:space="preserve">Tiêu chí</w:t>
            </w:r>
          </w:p>
        </w:tc>
        <w:tc>
          <w:tcPr/>
          <w:p>
            <w:pPr>
              <w:pStyle w:val="Compact"/>
              <w:jc w:val="left"/>
            </w:pPr>
            <w:r>
              <w:t xml:space="preserve">Nền kinh tế</w:t>
            </w:r>
          </w:p>
        </w:tc>
      </w:tr>
      <w:tr>
        <w:tc>
          <w:tcPr/>
          <w:p>
            <w:pPr>
              <w:pStyle w:val="Compact"/>
              <w:jc w:val="left"/>
            </w:pPr>
            <w:r>
              <w:t xml:space="preserve">I</w:t>
            </w:r>
          </w:p>
        </w:tc>
        <w:tc>
          <w:tcPr/>
          <w:p>
            <w:pPr>
              <w:pStyle w:val="Compact"/>
              <w:jc w:val="left"/>
            </w:pPr>
            <w:r>
              <w:t xml:space="preserve">Tiên tiến đổi mới sáng tạo dẫn dắt</w:t>
            </w:r>
          </w:p>
        </w:tc>
        <w:tc>
          <w:tcPr/>
          <w:p>
            <w:pPr>
              <w:pStyle w:val="Compact"/>
              <w:jc w:val="left"/>
            </w:pPr>
            <w:r>
              <w:t xml:space="preserve">GNI/người &gt;25.000 PPP + Innovation-driven (WIPO)</w:t>
            </w:r>
          </w:p>
        </w:tc>
        <w:tc>
          <w:tcPr/>
          <w:p>
            <w:pPr>
              <w:pStyle w:val="Compact"/>
              <w:jc w:val="left"/>
            </w:pPr>
            <w:r>
              <w:t xml:space="preserve">Singapore, Hong Kong SAR, Hàn Quốc, Đài Loan, Israel, Nhật Bản</w:t>
            </w:r>
          </w:p>
        </w:tc>
      </w:tr>
      <w:tr>
        <w:tc>
          <w:tcPr/>
          <w:p>
            <w:pPr>
              <w:pStyle w:val="Compact"/>
              <w:jc w:val="left"/>
            </w:pPr>
            <w:r>
              <w:t xml:space="preserve">II</w:t>
            </w:r>
          </w:p>
        </w:tc>
        <w:tc>
          <w:tcPr/>
          <w:p>
            <w:pPr>
              <w:pStyle w:val="Compact"/>
              <w:jc w:val="left"/>
            </w:pPr>
            <w:r>
              <w:t xml:space="preserve">Tiên tiến tài nguyên dẫn dắt</w:t>
            </w:r>
          </w:p>
        </w:tc>
        <w:tc>
          <w:tcPr/>
          <w:p>
            <w:pPr>
              <w:pStyle w:val="Compact"/>
              <w:jc w:val="left"/>
            </w:pPr>
            <w:r>
              <w:t xml:space="preserve">GNI/người &gt;25.000 PPP + Doanh thu tài nguyên &gt;40% GDP</w:t>
            </w:r>
          </w:p>
        </w:tc>
        <w:tc>
          <w:tcPr/>
          <w:p>
            <w:pPr>
              <w:pStyle w:val="Compact"/>
              <w:jc w:val="left"/>
            </w:pPr>
            <w:r>
              <w:t xml:space="preserve">Saudi Arabia, Qatar, Kuwait, Bahrain, Brunei, Oman</w:t>
            </w:r>
          </w:p>
        </w:tc>
      </w:tr>
      <w:tr>
        <w:tc>
          <w:tcPr/>
          <w:p>
            <w:pPr>
              <w:pStyle w:val="Compact"/>
              <w:jc w:val="left"/>
            </w:pPr>
            <w:r>
              <w:t xml:space="preserve">III</w:t>
            </w:r>
          </w:p>
        </w:tc>
        <w:tc>
          <w:tcPr/>
          <w:p>
            <w:pPr>
              <w:pStyle w:val="Compact"/>
              <w:jc w:val="left"/>
            </w:pPr>
            <w:r>
              <w:t xml:space="preserve">Trung bình cao</w:t>
            </w:r>
          </w:p>
        </w:tc>
        <w:tc>
          <w:tcPr/>
          <w:p>
            <w:pPr>
              <w:pStyle w:val="Compact"/>
              <w:jc w:val="left"/>
            </w:pPr>
            <w:r>
              <w:t xml:space="preserve">GNI/người 10.000–25.000 PPP; chuyển đổi công nghiệp</w:t>
            </w:r>
          </w:p>
        </w:tc>
        <w:tc>
          <w:tcPr/>
          <w:p>
            <w:pPr>
              <w:pStyle w:val="Compact"/>
              <w:jc w:val="left"/>
            </w:pPr>
            <w:r>
              <w:t xml:space="preserve">Trung Quốc, Malaysia, Thái Lan, Kazakhstan, Armenia, Georgia</w:t>
            </w:r>
          </w:p>
        </w:tc>
      </w:tr>
      <w:tr>
        <w:tc>
          <w:tcPr/>
          <w:p>
            <w:pPr>
              <w:pStyle w:val="Compact"/>
              <w:jc w:val="left"/>
            </w:pPr>
            <w:r>
              <w:t xml:space="preserve">IV</w:t>
            </w:r>
          </w:p>
        </w:tc>
        <w:tc>
          <w:tcPr/>
          <w:p>
            <w:pPr>
              <w:pStyle w:val="Compact"/>
              <w:jc w:val="left"/>
            </w:pPr>
            <w:r>
              <w:t xml:space="preserve">Chuyển đổi TB-thấp (</w:t>
            </w:r>
            <w:r>
              <w:rPr>
                <w:rStyle w:val="VerbatimChar"/>
              </w:rPr>
              <w:t xml:space="preserve">Lower_mid_transition</w:t>
            </w:r>
            <w:r>
              <w:t xml:space="preserve">)</w:t>
            </w:r>
          </w:p>
        </w:tc>
        <w:tc>
          <w:tcPr/>
          <w:p>
            <w:pPr>
              <w:pStyle w:val="Compact"/>
              <w:jc w:val="left"/>
            </w:pPr>
            <w:r>
              <w:t xml:space="preserve">GNI/người 1.500–5.000 PPP; đông dân, GVC đang tăng</w:t>
            </w:r>
          </w:p>
        </w:tc>
        <w:tc>
          <w:tcPr/>
          <w:p>
            <w:pPr>
              <w:pStyle w:val="Compact"/>
              <w:jc w:val="left"/>
            </w:pPr>
            <w:r>
              <w:t xml:space="preserve">Việt Nam, Ấn Độ, Indonesia, Philippines, Mông Cổ, Bangladesh, Pakistan</w:t>
            </w:r>
          </w:p>
        </w:tc>
      </w:tr>
      <w:tr>
        <w:tc>
          <w:tcPr/>
          <w:p>
            <w:pPr>
              <w:pStyle w:val="Compact"/>
              <w:jc w:val="left"/>
            </w:pPr>
            <w:r>
              <w:t xml:space="preserve">V</w:t>
            </w:r>
          </w:p>
        </w:tc>
        <w:tc>
          <w:tcPr/>
          <w:p>
            <w:pPr>
              <w:pStyle w:val="Compact"/>
              <w:jc w:val="left"/>
            </w:pPr>
            <w:r>
              <w:t xml:space="preserve">Đang nổi (</w:t>
            </w:r>
            <w:r>
              <w:rPr>
                <w:rStyle w:val="VerbatimChar"/>
              </w:rPr>
              <w:t xml:space="preserve">Emerging</w:t>
            </w:r>
            <w:r>
              <w:t xml:space="preserve">)</w:t>
            </w:r>
          </w:p>
        </w:tc>
        <w:tc>
          <w:tcPr/>
          <w:p>
            <w:pPr>
              <w:pStyle w:val="Compact"/>
              <w:jc w:val="left"/>
            </w:pPr>
            <w:r>
              <w:t xml:space="preserve">GNI/người &lt;4.000 PPP; khoảng trống thể chế đáng kể</w:t>
            </w:r>
          </w:p>
        </w:tc>
        <w:tc>
          <w:tcPr/>
          <w:p>
            <w:pPr>
              <w:pStyle w:val="Compact"/>
              <w:jc w:val="left"/>
            </w:pPr>
            <w:r>
              <w:t xml:space="preserve">Sri Lanka, Jordan, Lào, Campuchia, Myanmar, Nepal, Bhutan, Maldives, Uzbekistan, Tajikistan, Kyrgyzstan, Turkmenistan, Afghanistan, Azerbaijan, Iraq, Lebanon, Yemen (17 nước)</w:t>
            </w:r>
          </w:p>
        </w:tc>
      </w:tr>
      <w:tr>
        <w:tc>
          <w:tcPr/>
          <w:p>
            <w:pPr>
              <w:pStyle w:val="Compact"/>
              <w:jc w:val="left"/>
            </w:pPr>
            <w:r>
              <w:t xml:space="preserve">VI</w:t>
            </w:r>
          </w:p>
        </w:tc>
        <w:tc>
          <w:tcPr/>
          <w:p>
            <w:pPr>
              <w:pStyle w:val="Compact"/>
              <w:jc w:val="left"/>
            </w:pPr>
            <w:r>
              <w:t xml:space="preserve">SIDS (</w:t>
            </w:r>
            <w:r>
              <w:rPr>
                <w:rStyle w:val="VerbatimChar"/>
              </w:rPr>
              <w:t xml:space="preserve">SIDS_small</w:t>
            </w:r>
            <w:r>
              <w:t xml:space="preserve">)</w:t>
            </w:r>
          </w:p>
        </w:tc>
        <w:tc>
          <w:tcPr/>
          <w:p>
            <w:pPr>
              <w:pStyle w:val="Compact"/>
              <w:jc w:val="left"/>
            </w:pPr>
            <w:r>
              <w:t xml:space="preserve">Đảo nhỏ; phụ thuộc cao; quốc tế hóa bắt buộc</w:t>
            </w:r>
          </w:p>
        </w:tc>
        <w:tc>
          <w:tcPr/>
          <w:p>
            <w:pPr>
              <w:pStyle w:val="Compact"/>
              <w:jc w:val="left"/>
            </w:pPr>
            <w:r>
              <w:t xml:space="preserve">Fiji, Kiribati, Papua New Guinea, Samoa, Solomon Islands, Tonga, Vanuatu, Timor-Leste (8 nền; P8 mẫu chính 7 Pacific)</w:t>
            </w:r>
          </w:p>
        </w:tc>
      </w:tr>
    </w:tbl>
    <w:p>
      <w:pPr>
        <w:pStyle w:val="BodyText"/>
      </w:pPr>
      <w:r>
        <w:t xml:space="preserve">Tổng: 6 + 6 + 6 + 7 + 17 + 8 =</w:t>
      </w:r>
      <w:r>
        <w:t xml:space="preserve"> </w:t>
      </w:r>
      <w:r>
        <w:rPr>
          <w:bCs/>
          <w:b/>
        </w:rPr>
        <w:t xml:space="preserve">50 nền kinh tế châu Á–Thái Bình Dương</w:t>
      </w:r>
      <w:r>
        <w:t xml:space="preserve"> </w:t>
      </w:r>
      <w:r>
        <w:t xml:space="preserve">(gồm Nhật Bản; căn theo nhãn</w:t>
      </w:r>
      <w:r>
        <w:t xml:space="preserve"> </w:t>
      </w:r>
      <w:r>
        <w:rPr>
          <w:rStyle w:val="VerbatimChar"/>
        </w:rPr>
        <w:t xml:space="preserve">icrv_label</w:t>
      </w:r>
      <w:r>
        <w:t xml:space="preserve"> </w:t>
      </w:r>
      <w:r>
        <w:t xml:space="preserve">dữ liệu P7).</w:t>
      </w:r>
      <w:r>
        <w:t xml:space="preserve"> </w:t>
      </w:r>
      <w:r>
        <w:rPr>
          <w:iCs/>
          <w:i/>
        </w:rPr>
        <w:t xml:space="preserve">(Mẫu gộp phân loại đầy đủ 52 nền/96.415 DN gồm thêm Turkey, Cyprus ngoài châu Á, loại khỏi khung 50. P8 mẫu chính 7 nền Pacific; độ vững 9 nền gồm Comoros + Timor-Leste.)</w:t>
      </w:r>
    </w:p>
    <w:p>
      <w:pPr>
        <w:pStyle w:val="BodyText"/>
      </w:pPr>
      <w:r>
        <w:t xml:space="preserve">Phân loại dựa trên GNI/người PPP (trung bình 2020–2024, World Bank), Chỉ số Đổi mới Sáng tạo Toàn cầu (WIPO GII), và tỉ trọng doanh thu tài nguyên (IMF Fiscal Monitor). Tất cả 50 nền kinh tế không thay đổi nhóm ICRV trong giai đoạn 2009–2025 (ngưỡng kiểm tra: chuyển nhóm nếu GNI/người vượt ngưỡng ±15% trong ≥3 năm liên tiếp, không có trường hợp nào).</w:t>
      </w:r>
    </w:p>
    <w:bookmarkEnd w:id="76"/>
    <w:bookmarkStart w:id="77" w:name="chiến-lược-nhận-dạng-nhân-quả"/>
    <w:p>
      <w:pPr>
        <w:pStyle w:val="Heading5"/>
      </w:pPr>
      <w:r>
        <w:t xml:space="preserve">Chiến lược nhận dạng nhân quả</w:t>
      </w:r>
    </w:p>
    <w:p>
      <w:pPr>
        <w:pStyle w:val="FirstParagraph"/>
      </w:pPr>
      <w:r>
        <w:t xml:space="preserve">Tầng 1, OLS với SE robust và hiệu ứng cố định (tất cả mô hình M0–M7): HC1 SE (chuẩn), điều chỉnh không đồng nhất phương sai cấp doanh nghiệp; hiệu ứng cố định hai chiều (quốc gia × năm); kiểm tra VIF, kỳ vọng &lt; 10 cho các biến trọng tâm.</w:t>
      </w:r>
    </w:p>
    <w:p>
      <w:pPr>
        <w:pStyle w:val="BodyText"/>
      </w:pPr>
      <w:r>
        <w:t xml:space="preserve">Tầng 2, Biến công cụ (DAI trong M4, Nhóm IV):</w:t>
      </w:r>
      <w:r>
        <w:t xml:space="preserve"> </w:t>
      </w:r>
      <w:r>
        <w:t xml:space="preserve">Ứng viên biến công cụ: (1) mean DAI trung bình ngành loại trừ chính doanh nghiệp đó; (2) khoảng cách từ thành phố của doanh nghiệp đến trạm cáp ngầm biển gần nhất × năm.</w:t>
      </w:r>
      <w:r>
        <w:t xml:space="preserve"> </w:t>
      </w:r>
      <w:r>
        <w:t xml:space="preserve">F thống kê bậc một: phải ≥ 16 (ngưỡng Stock &amp; Yogo cho biến công cụ yếu).</w:t>
      </w:r>
      <w:r>
        <w:t xml:space="preserve"> </w:t>
      </w:r>
      <w:r>
        <w:t xml:space="preserve">Tham chiếu: P3 Việt Nam đã chứng minh F bậc một = 34,6 với biến công cụ hợp lệ.</w:t>
      </w:r>
    </w:p>
    <w:p>
      <w:pPr>
        <w:pStyle w:val="BodyText"/>
      </w:pPr>
      <w:r>
        <w:t xml:space="preserve">Tầng 3, Kiểm định phi tuyến:</w:t>
      </w:r>
    </w:p>
    <w:p>
      <w:pPr>
        <w:pStyle w:val="BodyText"/>
      </w:pPr>
      <w:r>
        <w:t xml:space="preserve">Lind–Mehlum (2010) U-test: xác nhận chữ U ngược thực sự (không chỉ dấu đúng). Quy trình: kiểm tra β₁ &gt; 0 và β₂ &lt; 0; tính TP = −β₁/(2β₂) và 95% CI bằng delta method; kiểm định H₀: độ dốc tại min(FSTS) ≤ 0 HOẶC độ dốc tại max(FSTS) ≥ 0, bác bỏ H₀ sang chữ U ngược thực sự.</w:t>
      </w:r>
    </w:p>
    <w:p>
      <w:pPr>
        <w:pStyle w:val="BodyText"/>
      </w:pPr>
      <w:r>
        <w:t xml:space="preserve">Paternoster z-test cho so sánh điểm uốn:</w:t>
      </w:r>
    </w:p>
    <w:p>
      <w:pPr>
        <w:pStyle w:val="BodyText"/>
      </w:pPr>
      <m:oMathPara>
        <m:oMathParaPr>
          <m:jc m:val="center"/>
        </m:oMathParaPr>
        <m:oMath>
          <m:r>
            <m:t>z</m:t>
          </m:r>
          <m:r>
            <m:rPr>
              <m:sty m:val="p"/>
            </m:rPr>
            <m:t>=</m:t>
          </m:r>
          <m:f>
            <m:fPr>
              <m:type m:val="bar"/>
            </m:fPr>
            <m:num>
              <m:sSub>
                <m:e>
                  <m:acc>
                    <m:accPr>
                      <m:chr m:val="̂"/>
                    </m:accPr>
                    <m:e>
                      <m:r>
                        <m:t>β</m:t>
                      </m:r>
                    </m:e>
                  </m:acc>
                </m:e>
                <m:sub>
                  <m:r>
                    <m:t>1</m:t>
                  </m:r>
                </m:sub>
              </m:sSub>
              <m:r>
                <m:rPr>
                  <m:sty m:val="p"/>
                </m:rPr>
                <m:t>−</m:t>
              </m:r>
              <m:sSub>
                <m:e>
                  <m:acc>
                    <m:accPr>
                      <m:chr m:val="̂"/>
                    </m:accPr>
                    <m:e>
                      <m:r>
                        <m:t>β</m:t>
                      </m:r>
                    </m:e>
                  </m:acc>
                </m:e>
                <m:sub>
                  <m:r>
                    <m:t>2</m:t>
                  </m:r>
                </m:sub>
              </m:sSub>
            </m:num>
            <m:den>
              <m:rad>
                <m:radPr>
                  <m:degHide m:val="on"/>
                </m:radPr>
                <m:deg/>
                <m:e>
                  <m:r>
                    <m:t>S</m:t>
                  </m:r>
                  <m:sSubSup>
                    <m:e>
                      <m:r>
                        <m:t>E</m:t>
                      </m:r>
                    </m:e>
                    <m:sub>
                      <m:r>
                        <m:t>1</m:t>
                      </m:r>
                    </m:sub>
                    <m:sup>
                      <m:r>
                        <m:t>2</m:t>
                      </m:r>
                    </m:sup>
                  </m:sSubSup>
                  <m:r>
                    <m:rPr>
                      <m:sty m:val="p"/>
                    </m:rPr>
                    <m:t>+</m:t>
                  </m:r>
                  <m:r>
                    <m:t>S</m:t>
                  </m:r>
                  <m:sSubSup>
                    <m:e>
                      <m:r>
                        <m:t>E</m:t>
                      </m:r>
                    </m:e>
                    <m:sub>
                      <m:r>
                        <m:t>2</m:t>
                      </m:r>
                    </m:sub>
                    <m:sup>
                      <m:r>
                        <m:t>2</m:t>
                      </m:r>
                    </m:sup>
                  </m:sSubSup>
                </m:e>
              </m:rad>
            </m:den>
          </m:f>
        </m:oMath>
      </m:oMathPara>
    </w:p>
    <w:p>
      <w:pPr>
        <w:pStyle w:val="FirstParagraph"/>
      </w:pPr>
      <w:r>
        <w:t xml:space="preserve">Áp dụng: so sánh TP(Nhóm I) vs TP(Nhóm IV) cho H5; so sánh hệ số FSTS² giữa Year_bucket cho H6.</w:t>
      </w:r>
    </w:p>
    <w:p>
      <w:pPr>
        <w:pStyle w:val="BodyText"/>
      </w:pPr>
      <w:r>
        <w:t xml:space="preserve">LOWESS phi tham số: smoother cục bộ (bandwidth = 0,4) vẽ ln(LP) ~ FSTS, nếu hình dạng visual nhất quán với chữ U ngược sang bằng chứng xác nhận không phụ thuộc giả định phân phối.</w:t>
      </w:r>
    </w:p>
    <w:p>
      <w:pPr>
        <w:pStyle w:val="BodyText"/>
      </w:pPr>
      <w:r>
        <w:t xml:space="preserve">Tầng 4, Nhân rộng mẫu con: Mẫu gộp đủ lớn (88.869 / 50 nền, gồm Nhật Bản) cho phép chạy M0–M7 riêng cho từng nhóm ICRV (Nhóm I: 6.390; Nhóm IV: 45.003) để kiểm định tính không đồng nhất.</w:t>
      </w:r>
    </w:p>
    <w:bookmarkEnd w:id="77"/>
    <w:bookmarkEnd w:id="78"/>
    <w:bookmarkStart w:id="79" w:name="kế-hoạch-kiểm-định-độ-vững"/>
    <w:p>
      <w:pPr>
        <w:pStyle w:val="Heading4"/>
      </w:pPr>
      <w:r>
        <w:t xml:space="preserve">2.3.7 Kế hoạch kiểm định độ vững</w:t>
      </w:r>
    </w:p>
    <w:p>
      <w:pPr>
        <w:pStyle w:val="FirstParagraph"/>
      </w:pPr>
      <w:r>
        <w:t xml:space="preserve">Kế hoạch kiểm định độ vững được thiết kế theo sáu nhóm, mỗi nhóm trả lời một mối lo cụ thể.</w:t>
      </w:r>
    </w:p>
    <w:p>
      <w:pPr>
        <w:pStyle w:val="BodyText"/>
      </w:pPr>
      <w:r>
        <w:t xml:space="preserve">Bảng 2.12. Kế hoạch kiểm định độ vững, sáu nhóm.</w:t>
      </w:r>
    </w:p>
    <w:tbl>
      <w:tblPr>
        <w:tblStyle w:val="Table"/>
        <w:tblW w:type="pct" w:w="5000"/>
        <w:tblLook w:firstRow="1" w:lastRow="0" w:firstColumn="0" w:lastColumn="0" w:noHBand="0" w:noVBand="0" w:val="0020"/>
        <w:jc w:val="start"/>
      </w:tblPr>
      <w:tblGrid>
        <w:gridCol w:w="1188"/>
        <w:gridCol w:w="1584"/>
        <w:gridCol w:w="3366"/>
        <w:gridCol w:w="1782"/>
      </w:tblGrid>
      <w:tr>
        <w:trPr>
          <w:tblHeader w:val="true"/>
        </w:trPr>
        <w:tc>
          <w:tcPr/>
          <w:p>
            <w:pPr>
              <w:pStyle w:val="Compact"/>
              <w:jc w:val="left"/>
            </w:pPr>
            <w:r>
              <w:t xml:space="preserve">Nhóm</w:t>
            </w:r>
          </w:p>
        </w:tc>
        <w:tc>
          <w:tcPr/>
          <w:p>
            <w:pPr>
              <w:pStyle w:val="Compact"/>
              <w:jc w:val="left"/>
            </w:pPr>
            <w:r>
              <w:t xml:space="preserve">Mối lo</w:t>
            </w:r>
          </w:p>
        </w:tc>
        <w:tc>
          <w:tcPr/>
          <w:p>
            <w:pPr>
              <w:pStyle w:val="Compact"/>
              <w:jc w:val="left"/>
            </w:pPr>
            <w:r>
              <w:t xml:space="preserve">Kiểm định cụ thể</w:t>
            </w:r>
          </w:p>
        </w:tc>
        <w:tc>
          <w:tcPr/>
          <w:p>
            <w:pPr>
              <w:pStyle w:val="Compact"/>
              <w:jc w:val="left"/>
            </w:pPr>
            <w:r>
              <w:t xml:space="preserve">Kỳ vọng</w:t>
            </w:r>
          </w:p>
        </w:tc>
      </w:tr>
      <w:tr>
        <w:tc>
          <w:tcPr/>
          <w:p>
            <w:pPr>
              <w:pStyle w:val="Compact"/>
              <w:jc w:val="left"/>
            </w:pPr>
            <w:r>
              <w:t xml:space="preserve">R1 Thay đổi thước đo</w:t>
            </w:r>
          </w:p>
        </w:tc>
        <w:tc>
          <w:tcPr/>
          <w:p>
            <w:pPr>
              <w:pStyle w:val="Compact"/>
              <w:jc w:val="left"/>
            </w:pPr>
            <w:r>
              <w:t xml:space="preserve">Biến phụ thuộc/độc lập/điều tiết khác nhau</w:t>
            </w:r>
          </w:p>
        </w:tc>
        <w:tc>
          <w:tcPr/>
          <w:p>
            <w:pPr>
              <w:pStyle w:val="Compact"/>
              <w:jc w:val="left"/>
            </w:pPr>
            <w:r>
              <w:t xml:space="preserve">(a) Biến phụ thuộc sang ROS; (b) Biến độc lập sang biến giả xuất khẩu (dummy exporter); (c) TCI 3-item (loại h1); (d) DAI Bậc 1 only (c22b) xuyên tất cả schema</w:t>
            </w:r>
          </w:p>
        </w:tc>
        <w:tc>
          <w:tcPr/>
          <w:p>
            <w:pPr>
              <w:pStyle w:val="Compact"/>
              <w:jc w:val="left"/>
            </w:pPr>
            <w:r>
              <w:t xml:space="preserve">Dấu hệ số giữ nguyên; độ lớn có thể khác</w:t>
            </w:r>
          </w:p>
        </w:tc>
      </w:tr>
      <w:tr>
        <w:tc>
          <w:tcPr/>
          <w:p>
            <w:pPr>
              <w:pStyle w:val="Compact"/>
              <w:jc w:val="left"/>
            </w:pPr>
            <w:r>
              <w:t xml:space="preserve">R2 Lọc mẫu</w:t>
            </w:r>
          </w:p>
        </w:tc>
        <w:tc>
          <w:tcPr/>
          <w:p>
            <w:pPr>
              <w:pStyle w:val="Compact"/>
              <w:jc w:val="left"/>
            </w:pPr>
            <w:r>
              <w:t xml:space="preserve">Thiên lệch chọn lựa từ thành phần mẫu</w:t>
            </w:r>
          </w:p>
        </w:tc>
        <w:tc>
          <w:tcPr/>
          <w:p>
            <w:pPr>
              <w:pStyle w:val="Compact"/>
              <w:jc w:val="left"/>
            </w:pPr>
            <w:r>
              <w:t xml:space="preserve">(a) Loại doanh nghiệp vi mô (&lt;5 lao động); (b) Loại SOE (sở hữu nhà nước &gt;50%); (c) Chỉ sản xuất (ISIC 10–33); (d) Chỉ doanh nghiệp xuất khẩu (FSTS &gt; 0)</w:t>
            </w:r>
          </w:p>
        </w:tc>
        <w:tc>
          <w:tcPr/>
          <w:p>
            <w:pPr>
              <w:pStyle w:val="Compact"/>
              <w:jc w:val="left"/>
            </w:pPr>
            <w:r>
              <w:t xml:space="preserve">Kết quả cốt lõi robust với các mẫu khác nhau</w:t>
            </w:r>
          </w:p>
        </w:tc>
      </w:tr>
      <w:tr>
        <w:tc>
          <w:tcPr/>
          <w:p>
            <w:pPr>
              <w:pStyle w:val="Compact"/>
              <w:jc w:val="left"/>
            </w:pPr>
            <w:r>
              <w:t xml:space="preserve">R3 Thay đổi phương pháp</w:t>
            </w:r>
          </w:p>
        </w:tc>
        <w:tc>
          <w:tcPr/>
          <w:p>
            <w:pPr>
              <w:pStyle w:val="Compact"/>
              <w:jc w:val="left"/>
            </w:pPr>
            <w:r>
              <w:t xml:space="preserve">Vi phạm giả định OLS</w:t>
            </w:r>
          </w:p>
        </w:tc>
        <w:tc>
          <w:tcPr/>
          <w:p>
            <w:pPr>
              <w:pStyle w:val="Compact"/>
              <w:jc w:val="left"/>
            </w:pPr>
            <w:r>
              <w:t xml:space="preserve">(a) Hồi quy phân vị tại p25/p50/p75; (b) HC3 thay HC1; (c) Bootstrap SE (1.000 lần); (d) Clustered SE tại cấp quốc gia</w:t>
            </w:r>
          </w:p>
        </w:tc>
        <w:tc>
          <w:tcPr/>
          <w:p>
            <w:pPr>
              <w:pStyle w:val="Compact"/>
              <w:jc w:val="left"/>
            </w:pPr>
            <w:r>
              <w:t xml:space="preserve">Bảo toàn dấu; CI có thể rộng hơn</w:t>
            </w:r>
          </w:p>
        </w:tc>
      </w:tr>
      <w:tr>
        <w:tc>
          <w:tcPr/>
          <w:p>
            <w:pPr>
              <w:pStyle w:val="Compact"/>
              <w:jc w:val="left"/>
            </w:pPr>
            <w:r>
              <w:t xml:space="preserve">R4 Kiểm tra dạng hàm</w:t>
            </w:r>
          </w:p>
        </w:tc>
        <w:tc>
          <w:tcPr/>
          <w:p>
            <w:pPr>
              <w:pStyle w:val="Compact"/>
              <w:jc w:val="left"/>
            </w:pPr>
            <w:r>
              <w:t xml:space="preserve">Sai lệch dạng hàm</w:t>
            </w:r>
          </w:p>
        </w:tc>
        <w:tc>
          <w:tcPr/>
          <w:p>
            <w:pPr>
              <w:pStyle w:val="Compact"/>
              <w:jc w:val="left"/>
            </w:pPr>
            <w:r>
              <w:t xml:space="preserve">(a) LOWESS phi tham số; (b) RESET test; (c) Đa thức phân số; (d) Hồi quy spline với 3 knots</w:t>
            </w:r>
          </w:p>
        </w:tc>
        <w:tc>
          <w:tcPr/>
          <w:p>
            <w:pPr>
              <w:pStyle w:val="Compact"/>
              <w:jc w:val="left"/>
            </w:pPr>
            <w:r>
              <w:t xml:space="preserve">LOWESS nhất quán với fit bậc hai</w:t>
            </w:r>
          </w:p>
        </w:tc>
      </w:tr>
      <w:tr>
        <w:tc>
          <w:tcPr/>
          <w:p>
            <w:pPr>
              <w:pStyle w:val="Compact"/>
              <w:jc w:val="left"/>
            </w:pPr>
            <w:r>
              <w:t xml:space="preserve">R5 Placebo tests</w:t>
            </w:r>
          </w:p>
        </w:tc>
        <w:tc>
          <w:tcPr/>
          <w:p>
            <w:pPr>
              <w:pStyle w:val="Compact"/>
              <w:jc w:val="left"/>
            </w:pPr>
            <w:r>
              <w:t xml:space="preserve">Tương quan giả</w:t>
            </w:r>
          </w:p>
        </w:tc>
        <w:tc>
          <w:tcPr/>
          <w:p>
            <w:pPr>
              <w:pStyle w:val="Compact"/>
              <w:jc w:val="left"/>
            </w:pPr>
            <w:r>
              <w:t xml:space="preserve">(a) Thay FSTS bằng biến ngẫu nhiên cho kết quả không tìm thấy phi tuyến; (b) Thay TCI bằng nhiễu cho kết quả không có điều tiết; (c) Kiểm tra nhân quả đảo chiều</w:t>
            </w:r>
          </w:p>
        </w:tc>
        <w:tc>
          <w:tcPr/>
          <w:p>
            <w:pPr>
              <w:pStyle w:val="Compact"/>
              <w:jc w:val="left"/>
            </w:pPr>
            <w:r>
              <w:t xml:space="preserve">Placebo tests không cho kết quả có ý nghĩa</w:t>
            </w:r>
          </w:p>
        </w:tc>
      </w:tr>
      <w:tr>
        <w:tc>
          <w:tcPr/>
          <w:p>
            <w:pPr>
              <w:pStyle w:val="Compact"/>
              <w:jc w:val="left"/>
            </w:pPr>
            <w:r>
              <w:t xml:space="preserve">R6 Nhạy cảm thiết kế</w:t>
            </w:r>
          </w:p>
        </w:tc>
        <w:tc>
          <w:tcPr/>
          <w:p>
            <w:pPr>
              <w:pStyle w:val="Compact"/>
              <w:jc w:val="left"/>
            </w:pPr>
            <w:r>
              <w:t xml:space="preserve">Tự do lựa chọn của nhà nghiên cứu</w:t>
            </w:r>
          </w:p>
        </w:tc>
        <w:tc>
          <w:tcPr/>
          <w:p>
            <w:pPr>
              <w:pStyle w:val="Compact"/>
              <w:jc w:val="left"/>
            </w:pPr>
            <w:r>
              <w:t xml:space="preserve">(a) Ngưỡng ICRV khác (GNI thay PPP GDP); (b) Giai đoạn thời gian: 2009–11/12–16/17–25; (c) Loại từng quốc gia (jackknife 47 lần); (d) Ngưỡng Tier DAI khác nhau</w:t>
            </w:r>
          </w:p>
        </w:tc>
        <w:tc>
          <w:tcPr/>
          <w:p>
            <w:pPr>
              <w:pStyle w:val="Compact"/>
              <w:jc w:val="left"/>
            </w:pPr>
            <w:r>
              <w:t xml:space="preserve">Kết quả cốt lõi ổn định</w:t>
            </w:r>
          </w:p>
        </w:tc>
      </w:tr>
    </w:tbl>
    <w:p>
      <w:pPr>
        <w:pStyle w:val="BodyText"/>
      </w:pPr>
      <w:r>
        <w:t xml:space="preserve">Ngưỡng chấp nhận cho các tham số quan trọng qua kiểm định độ vững: β₁(FSTS) trong khoảng [0,1; 3,0]; β₂(FSTS²) trong khoảng [−2,5; −0,1]; điểm uốn trong khoảng [20%; 90%]; β(TCI) trong khoảng [0,05; 0,5]; β(FSTS²×DAI) Nhóm I trong khoảng [0,5; 6,0].</w:t>
      </w:r>
    </w:p>
    <w:p>
      <w:pPr>
        <w:pStyle w:val="BodyText"/>
      </w:pPr>
      <w:r>
        <w:t xml:space="preserve">Quy trình báo cáo: nếu ≥4/6 nhóm R1–R6 cho kết quả nhất quán với chuẩn (dấu đúng, p &lt; 0,10), kết quả được coi là</w:t>
      </w:r>
      <w:r>
        <w:t xml:space="preserve"> </w:t>
      </w:r>
      <w:r>
        <w:t xml:space="preserve">“</w:t>
      </w:r>
      <w:r>
        <w:t xml:space="preserve">xác nhận mạnh</w:t>
      </w:r>
      <w:r>
        <w:t xml:space="preserve">”</w:t>
      </w:r>
      <w:r>
        <w:t xml:space="preserve">. Nếu chỉ 2–3/6 nhóm nhất quán, kết quả là</w:t>
      </w:r>
      <w:r>
        <w:t xml:space="preserve"> </w:t>
      </w:r>
      <w:r>
        <w:t xml:space="preserve">“</w:t>
      </w:r>
      <w:r>
        <w:t xml:space="preserve">hỗ trợ có điều kiện</w:t>
      </w:r>
      <w:r>
        <w:t xml:space="preserve">”</w:t>
      </w:r>
      <w:r>
        <w:t xml:space="preserve">. Nếu &lt; 2/6 nhóm nhất quán, kết quả cần tái xem xét và không được tuyên bố giả thuyết được xác nhận.</w:t>
      </w:r>
    </w:p>
    <w:p>
      <w:pPr>
        <w:pStyle w:val="BodyText"/>
      </w:pPr>
      <w:r>
        <w:rPr>
          <w:bCs/>
          <w:b/>
        </w:rPr>
        <w:t xml:space="preserve">Cập nhật kết quả thực hiện (khung 50 nền P7).</w:t>
      </w:r>
      <w:r>
        <w:t xml:space="preserve"> </w:t>
      </w:r>
      <w:r>
        <w:t xml:space="preserve">Bốn nhóm kiểm định cốt lõi của kế hoạch trên đã được thực hiện trên khung ước lượng 50 nền của luận án, tái lập đúng mô hình canonical (M2: điểm uốn 51,5%,</w:t>
      </w:r>
      <w:r>
        <w:t xml:space="preserve"> </w:t>
      </w:r>
      <m:oMath>
        <m:sSub>
          <m:e>
            <m:r>
              <m:t>β</m:t>
            </m:r>
          </m:e>
          <m:sub>
            <m:r>
              <m:t>2</m:t>
            </m:r>
          </m:sub>
        </m:sSub>
        <m:r>
          <m:rPr>
            <m:sty m:val="p"/>
          </m:rPr>
          <m:t>=</m:t>
        </m:r>
        <m:r>
          <m:rPr>
            <m:sty m:val="p"/>
          </m:rPr>
          <m:t>−</m:t>
        </m:r>
        <m:r>
          <m:t>1</m:t>
        </m:r>
        <m:r>
          <m:rPr>
            <m:sty m:val="p"/>
          </m:rPr>
          <m:t>,</m:t>
        </m:r>
        <m:r>
          <m:t>399</m:t>
        </m:r>
      </m:oMath>
      <w:r>
        <w:t xml:space="preserve">,</w:t>
      </w:r>
      <w:r>
        <w:t xml:space="preserve"> </w:t>
      </w:r>
      <m:oMath>
        <m:r>
          <m:t>p</m:t>
        </m:r>
        <m:r>
          <m:rPr>
            <m:sty m:val="p"/>
          </m:rPr>
          <m:t>&lt;</m:t>
        </m:r>
        <m:r>
          <m:rPr>
            <m:sty m:val="p"/>
          </m:rPr>
          <m:t>,</m:t>
        </m:r>
        <m:r>
          <m:t>001</m:t>
        </m:r>
      </m:oMath>
      <w:r>
        <w:t xml:space="preserve">).</w:t>
      </w:r>
      <w:r>
        <w:t xml:space="preserve"> </w:t>
      </w:r>
      <w:r>
        <w:rPr>
          <w:iCs/>
          <w:i/>
        </w:rPr>
        <w:t xml:space="preserve">Về suy luận cụm nhỏ (R3):</w:t>
      </w:r>
      <w:r>
        <w:t xml:space="preserve"> </w:t>
      </w:r>
      <w:r>
        <w:t xml:space="preserve">bootstrap cụm hoang dã (wild-cluster, Cameron–Gelbach–Miller, B = 9.999, cụm theo nền kinh tế) cho thấy độ cong theo từng nhóm ICRV nhạy cảm với số cụm; độ cong vùng chuyển đổi (Nhóm IV) nới từ</w:t>
      </w:r>
      <w:r>
        <w:t xml:space="preserve"> </w:t>
      </w:r>
      <m:oMath>
        <m:r>
          <m:t>p</m:t>
        </m:r>
        <m:r>
          <m:rPr>
            <m:sty m:val="p"/>
          </m:rPr>
          <m:t>=</m:t>
        </m:r>
        <m:r>
          <m:t>0</m:t>
        </m:r>
        <m:r>
          <m:rPr>
            <m:sty m:val="p"/>
          </m:rPr>
          <m:t>,</m:t>
        </m:r>
        <m:r>
          <m:t>001</m:t>
        </m:r>
      </m:oMath>
      <w:r>
        <w:t xml:space="preserve"> </w:t>
      </w:r>
      <w:r>
        <w:t xml:space="preserve">(CRV1) lên</w:t>
      </w:r>
      <w:r>
        <w:t xml:space="preserve"> </w:t>
      </w:r>
      <m:oMath>
        <m:r>
          <m:rPr>
            <m:sty m:val="p"/>
          </m:rPr>
          <m:t>≈</m:t>
        </m:r>
        <m:r>
          <m:t>0</m:t>
        </m:r>
        <m:r>
          <m:rPr>
            <m:sty m:val="p"/>
          </m:rPr>
          <m:t>,</m:t>
        </m:r>
        <m:r>
          <m:t>10</m:t>
        </m:r>
      </m:oMath>
      <w:r>
        <w:t xml:space="preserve">, xác nhận suy luận phi tuyến hình thức được neo ở cấp gộp (49 cụm) và phân tích tổng hợp P6, còn các điểm uốn theo nhóm được đọc như một phổ mô tả chứ không phải kiểm định độc lập đủ công suất.</w:t>
      </w:r>
      <w:r>
        <w:t xml:space="preserve"> </w:t>
      </w:r>
      <w:r>
        <w:rPr>
          <w:iCs/>
          <w:i/>
        </w:rPr>
        <w:t xml:space="preserve">Về tự do lựa chọn của nhà nghiên cứu (R6):</w:t>
      </w:r>
      <w:r>
        <w:t xml:space="preserve"> </w:t>
      </w:r>
      <w:r>
        <w:t xml:space="preserve">hiệu chỉnh đa kiểm định Holm/Bonferroni cho cả họ bốn tương tác TCI/DAI giữ nguyên không có ý nghĩa, nên kết luận năng lực là yếu tố nâng mặt bằng không phải âm tính giả do kiểm định lặp.</w:t>
      </w:r>
      <w:r>
        <w:t xml:space="preserve"> </w:t>
      </w:r>
      <w:r>
        <w:rPr>
          <w:iCs/>
          <w:i/>
        </w:rPr>
        <w:t xml:space="preserve">Về bất biến đo lường (R1):</w:t>
      </w:r>
      <w:r>
        <w:t xml:space="preserve"> </w:t>
      </w:r>
      <w:r>
        <w:t xml:space="preserve">các mục lõi TCI và DAI hiện diện khoảng</w:t>
      </w:r>
      <w:r>
        <w:t xml:space="preserve"> </w:t>
      </w:r>
      <m:oMath>
        <m:r>
          <m:t>99</m:t>
        </m:r>
        <m:r>
          <m:rPr>
            <m:sty m:val="p"/>
          </m:rPr>
          <m:t>%</m:t>
        </m:r>
      </m:oMath>
      <w:r>
        <w:t xml:space="preserve"> </w:t>
      </w:r>
      <w:r>
        <w:t xml:space="preserve">ở cả ba thế hệ lược đồ và trung bình DAI tăng đơn điệu (</w:t>
      </w:r>
      <m:oMath>
        <m:r>
          <m:t>0</m:t>
        </m:r>
        <m:r>
          <m:rPr>
            <m:sty m:val="p"/>
          </m:rPr>
          <m:t>,</m:t>
        </m:r>
        <m:r>
          <m:t>30</m:t>
        </m:r>
        <m:r>
          <m:rPr>
            <m:sty m:val="p"/>
          </m:rPr>
          <m:t>→</m:t>
        </m:r>
        <m:r>
          <m:t>0</m:t>
        </m:r>
        <m:r>
          <m:rPr>
            <m:sty m:val="p"/>
          </m:rPr>
          <m:t>,</m:t>
        </m:r>
        <m:r>
          <m:t>46</m:t>
        </m:r>
        <m:r>
          <m:rPr>
            <m:sty m:val="p"/>
          </m:rPr>
          <m:t>→</m:t>
        </m:r>
        <m:r>
          <m:t>0</m:t>
        </m:r>
        <m:r>
          <m:rPr>
            <m:sty m:val="p"/>
          </m:rPr>
          <m:t>,</m:t>
        </m:r>
        <m:r>
          <m:t>53</m:t>
        </m:r>
      </m:oMath>
      <w:r>
        <w:t xml:space="preserve">) phản ánh khuếch tán số thực chất, nên so sánh chéo đợt là có cơ sở.</w:t>
      </w:r>
      <w:r>
        <w:t xml:space="preserve"> </w:t>
      </w:r>
      <w:r>
        <w:rPr>
          <w:iCs/>
          <w:i/>
        </w:rPr>
        <w:t xml:space="preserve">Về nội sinh chọn lọc (R4):</w:t>
      </w:r>
      <w:r>
        <w:t xml:space="preserve"> </w:t>
      </w:r>
      <w:r>
        <w:t xml:space="preserve">thêm tỷ số Mills nghịch đảo từ probit tham gia xuất khẩu giữ nguyên độ cong chữ U ngược và điểm uốn (</w:t>
      </w:r>
      <m:oMath>
        <m:r>
          <m:t>43</m:t>
        </m:r>
        <m:r>
          <m:rPr>
            <m:sty m:val="p"/>
          </m:rPr>
          <m:t>,</m:t>
        </m:r>
        <m:r>
          <m:t>6</m:t>
        </m:r>
        <m:r>
          <m:rPr>
            <m:sty m:val="p"/>
          </m:rPr>
          <m:t>%</m:t>
        </m:r>
        <m:r>
          <m:rPr>
            <m:sty m:val="p"/>
          </m:rPr>
          <m:t>→</m:t>
        </m:r>
        <m:r>
          <m:t>43</m:t>
        </m:r>
        <m:r>
          <m:rPr>
            <m:sty m:val="p"/>
          </m:rPr>
          <m:t>,</m:t>
        </m:r>
        <m:r>
          <m:t>5</m:t>
        </m:r>
        <m:r>
          <m:rPr>
            <m:sty m:val="p"/>
          </m:rPr>
          <m:t>%</m:t>
        </m:r>
      </m:oMath>
      <w:r>
        <w:t xml:space="preserve">) với tỷ số Mills không có ý nghĩa (</w:t>
      </w:r>
      <m:oMath>
        <m:r>
          <m:t>p</m:t>
        </m:r>
        <m:r>
          <m:rPr>
            <m:sty m:val="p"/>
          </m:rPr>
          <m:t>=</m:t>
        </m:r>
        <m:r>
          <m:rPr>
            <m:sty m:val="p"/>
          </m:rPr>
          <m:t>,</m:t>
        </m:r>
        <m:r>
          <m:t>317</m:t>
        </m:r>
      </m:oMath>
      <w:r>
        <w:t xml:space="preserve">), cho thấy không có thiên lệch tự chọn lọc kiểu Melitz trong độ cong. Chi tiết phương pháp và số liệu ở</w:t>
      </w:r>
      <w:r>
        <w:t xml:space="preserve"> </w:t>
      </w:r>
      <w:r>
        <w:rPr>
          <w:rStyle w:val="VerbatimChar"/>
        </w:rPr>
        <w:t xml:space="preserve">data_wbes/analysis/p7_robustness_suite_2026-06.md</w:t>
      </w:r>
      <w:r>
        <w:t xml:space="preserve">.</w:t>
      </w:r>
    </w:p>
    <w:bookmarkEnd w:id="79"/>
    <w:bookmarkStart w:id="84" w:name="Xa7a3e024942ac139f282b38617464477c22cff4"/>
    <w:p>
      <w:pPr>
        <w:pStyle w:val="Heading4"/>
      </w:pPr>
      <w:r>
        <w:t xml:space="preserve">2.3.8 Thảo luận: đóng góp lý thuyết và thực tiễn</w:t>
      </w:r>
    </w:p>
    <w:bookmarkStart w:id="80" w:name="khung-đánh-giá-đóng-góp"/>
    <w:p>
      <w:pPr>
        <w:pStyle w:val="Heading5"/>
      </w:pPr>
      <w:r>
        <w:t xml:space="preserve">Khung đánh giá đóng góp</w:t>
      </w:r>
    </w:p>
    <w:p>
      <w:pPr>
        <w:pStyle w:val="FirstParagraph"/>
      </w:pPr>
      <w:r>
        <w:t xml:space="preserve">Tám đóng góp dưới đây được định vị theo hai tiêu chí chuẩn để đánh giá đóng góp lý thuyết trong nghiên cứu quản trị và kinh doanh quốc tế:</w:t>
      </w:r>
      <w:r>
        <w:t xml:space="preserve"> </w:t>
      </w:r>
      <w:r>
        <w:rPr>
          <w:bCs/>
          <w:b/>
        </w:rPr>
        <w:t xml:space="preserve">tính nguyên gốc và tính hữu dụng</w:t>
      </w:r>
      <w:r>
        <w:t xml:space="preserve"> </w:t>
      </w:r>
      <w:r>
        <w:t xml:space="preserve">(originality × utility; Corley &amp; Gioia, 2011) và bộ ba</w:t>
      </w:r>
      <w:r>
        <w:t xml:space="preserve"> </w:t>
      </w:r>
      <w:r>
        <w:rPr>
          <w:bCs/>
          <w:b/>
        </w:rPr>
        <w:t xml:space="preserve">“</w:t>
      </w:r>
      <w:r>
        <w:rPr>
          <w:bCs/>
          <w:b/>
        </w:rPr>
        <w:t xml:space="preserve">cái gì – như thế nào – vì sao bây giờ</w:t>
      </w:r>
      <w:r>
        <w:rPr>
          <w:bCs/>
          <w:b/>
        </w:rPr>
        <w:t xml:space="preserve">”</w:t>
      </w:r>
      <w:r>
        <w:t xml:space="preserve"> </w:t>
      </w:r>
      <w:r>
        <w:t xml:space="preserve">(Whetten, 1989). Cần phân biệt rõ giữa</w:t>
      </w:r>
      <w:r>
        <w:t xml:space="preserve"> </w:t>
      </w:r>
      <w:r>
        <w:rPr>
          <w:bCs/>
          <w:b/>
        </w:rPr>
        <w:t xml:space="preserve">đóng góp</w:t>
      </w:r>
      <w:r>
        <w:t xml:space="preserve"> </w:t>
      </w:r>
      <w:r>
        <w:t xml:space="preserve">và</w:t>
      </w:r>
      <w:r>
        <w:t xml:space="preserve"> </w:t>
      </w:r>
      <w:r>
        <w:rPr>
          <w:bCs/>
          <w:b/>
        </w:rPr>
        <w:t xml:space="preserve">nhân rộng</w:t>
      </w:r>
      <w:r>
        <w:t xml:space="preserve"> </w:t>
      </w:r>
      <w:r>
        <w:t xml:space="preserve">(replication): việc tái xác nhận chữ U ngược ở từng bối cảnh đơn lẻ tự nó là nhân rộng có giá trị xác nhận, còn đóng góp nằm ở việc</w:t>
      </w:r>
      <w:r>
        <w:t xml:space="preserve"> </w:t>
      </w:r>
      <w:r>
        <w:rPr>
          <w:iCs/>
          <w:i/>
        </w:rPr>
        <w:t xml:space="preserve">cấu trúc hóa</w:t>
      </w:r>
      <w:r>
        <w:t xml:space="preserve"> </w:t>
      </w:r>
      <w:r>
        <w:t xml:space="preserve">sự biến thiên xuyên bối cảnh của dạng hàm thành một quy luật kiểm định được. Vì chuyên đề này là chuyên đề</w:t>
      </w:r>
      <w:r>
        <w:t xml:space="preserve"> </w:t>
      </w:r>
      <w:r>
        <w:rPr>
          <w:bCs/>
          <w:b/>
        </w:rPr>
        <w:t xml:space="preserve">xây dựng mô hình</w:t>
      </w:r>
      <w:r>
        <w:t xml:space="preserve">, mỗi đóng góp được phát biểu dưới dạng</w:t>
      </w:r>
      <w:r>
        <w:t xml:space="preserve"> </w:t>
      </w:r>
      <w:r>
        <w:rPr>
          <w:bCs/>
          <w:b/>
        </w:rPr>
        <w:t xml:space="preserve">mệnh đề có thể bác bỏ</w:t>
      </w:r>
      <w:r>
        <w:t xml:space="preserve"> </w:t>
      </w:r>
      <w:r>
        <w:t xml:space="preserve">kèm</w:t>
      </w:r>
      <w:r>
        <w:t xml:space="preserve"> </w:t>
      </w:r>
      <w:r>
        <w:rPr>
          <w:bCs/>
          <w:b/>
        </w:rPr>
        <w:t xml:space="preserve">điều kiện phạm vi</w:t>
      </w:r>
      <w:r>
        <w:t xml:space="preserve"> </w:t>
      </w:r>
      <w:r>
        <w:t xml:space="preserve">tường minh, để khung CDCM–ICRV–FIP có thể sai nếu dữ liệu không khớp — đặc điểm phân biệt một mô hình lý thuyết với một mô tả hậu nghiệm.</w:t>
      </w:r>
    </w:p>
    <w:bookmarkEnd w:id="80"/>
    <w:bookmarkStart w:id="81" w:name="đóng-góp-lý-thuyết"/>
    <w:p>
      <w:pPr>
        <w:pStyle w:val="Heading5"/>
      </w:pPr>
      <w:r>
        <w:t xml:space="preserve">Đóng góp lý thuyết</w:t>
      </w:r>
    </w:p>
    <w:p>
      <w:pPr>
        <w:pStyle w:val="FirstParagraph"/>
      </w:pPr>
      <w:r>
        <w:t xml:space="preserve">Đóng góp 1: Khung tích hợp 4 tầng + Khung chấp nhận số nền tảng cho châu Á. Không có khung tương đương trong tài liệu IB cho khu vực 50 nền kinh tế (gồm Nhật Bản) bao gồm cả quốc đảo nhỏ Thái Bình Dương. Khung tích hợp Uppsala + lý thuyết dựa trên nguồn lực + lý thuyết thể chế + lý thuyết thượng tầng quản trị + Khung chấp nhận số nền tảng cho phép giải thích đồng thời tính không đồng nhất quan sát được, điều mà các mô hình đơn lý thuyết không làm được.</w:t>
      </w:r>
    </w:p>
    <w:p>
      <w:pPr>
        <w:pStyle w:val="BodyText"/>
      </w:pPr>
      <w:r>
        <w:t xml:space="preserve">Đóng góp 2: CDCM, Hình thức hóa Mô hình Áp dụng số và Năng lực phụ thuộc bối cảnh. CDCM được phát hiện trong phân tích mô tả Chuyên đề Tiến sĩ số 1 và được làm sắc nét trong chuyên đề này qua H3: DAI là nguồn lực mở rộng tình huống (không phải phần thưởng đồng nhất), với tác động phụ thuộc ba chiều ngữ cảnh (chế độ × mức FSTS × bão hòa số). CDCM lấp đầy khoảng trống tại giao điểm của lý thuyết IB số và lý thuyết thể chế, chưa có trong tài liệu.</w:t>
      </w:r>
    </w:p>
    <w:p>
      <w:pPr>
        <w:pStyle w:val="BodyText"/>
      </w:pPr>
      <w:r>
        <w:t xml:space="preserve">Đóng góp 3: Phân loại nhánh Advanced thành Nhóm I và Nhóm II. Phát hiện từ phân tích mô tả về tính không đồng nhất trong Advanced, Nhóm I (tiên tiến đổi mới: Singapore, Korea, HK, Đài Loan) vs. Nhóm II (tiên tiến tài nguyên: Saudi, Qatar, Kuwait, Bahrain), được tích hợp vào H5 như dự đoán lý thuyết: cùng GNI/người cao nhưng cơ chế quốc tế hóa và hiệu quả khác nhau do nguồn lực dẫn dắt khác nhau.</w:t>
      </w:r>
    </w:p>
    <w:p>
      <w:pPr>
        <w:pStyle w:val="BodyText"/>
      </w:pPr>
      <w:r>
        <w:t xml:space="preserve">Đóng góp 4: Giả thuyết gánh nặng bắt buộc trong khung quốc tế hóa và hiệu quả. Dạng gánh nặng bắt buộc (forced penalty) ở SIDS (Nhóm VI) được tích hợp vào H5/H1b như trường hợp cực đoan của phổ thể chế, SIDS không có chữ U ngược điển hình do quốc tế hóa bắt buộc (Briguglio, 1995). Phát hiện vững của nghiên cứu chuyên sâu SIDS (P8, trên</w:t>
      </w:r>
      <w:r>
        <w:t xml:space="preserve"> </w:t>
      </w:r>
      <w:r>
        <w:rPr>
          <w:bCs/>
          <w:b/>
        </w:rPr>
        <w:t xml:space="preserve">mẫu đầy đủ bảy cụm Thái Bình Dương</w:t>
      </w:r>
      <w:r>
        <w:t xml:space="preserve">) là</w:t>
      </w:r>
      <w:r>
        <w:t xml:space="preserve"> </w:t>
      </w:r>
      <w:r>
        <w:rPr>
          <w:bCs/>
          <w:b/>
        </w:rPr>
        <w:t xml:space="preserve">việc dạng chữ U ngược mất cấu trúc</w:t>
      </w:r>
      <w:r>
        <w:t xml:space="preserve">: độ dốc tuyến tính (−0,085; p_wild = 0,66) không có ý nghĩa và độ cong (+0,696; p_wild = 0,082) chỉ đạt mức biên. Hệ số âm mạnh đặc trưng cho FIP (β = −1,339) chỉ xuất hiện trên một bản dựng dữ liệu hạn chế ba cụm, mang tính</w:t>
      </w:r>
      <w:r>
        <w:t xml:space="preserve"> </w:t>
      </w:r>
      <w:r>
        <w:rPr>
          <w:bCs/>
          <w:b/>
        </w:rPr>
        <w:t xml:space="preserve">minh họa và nhạy cảm với phiên bản dữ liệu</w:t>
      </w:r>
      <w:r>
        <w:t xml:space="preserve">; do đó FIP được phát biểu chủ yếu như một</w:t>
      </w:r>
      <w:r>
        <w:t xml:space="preserve"> </w:t>
      </w:r>
      <w:r>
        <w:rPr>
          <w:bCs/>
          <w:b/>
        </w:rPr>
        <w:t xml:space="preserve">đóng góp khái niệm</w:t>
      </w:r>
      <w:r>
        <w:t xml:space="preserve"> </w:t>
      </w:r>
      <w:r>
        <w:t xml:space="preserve">(điều kiện biên cực trị) chứ không phải một ước lượng điểm chắc chắn. Tích hợp này mở rộng tài liệu quốc tế hóa và hiệu quả từ châu Á lục địa sang các quốc đảo nhỏ Thái Bình Dương.</w:t>
      </w:r>
    </w:p>
    <w:bookmarkEnd w:id="81"/>
    <w:bookmarkStart w:id="82" w:name="đóng-góp-về-mô-hình-và-phương-pháp"/>
    <w:p>
      <w:pPr>
        <w:pStyle w:val="Heading5"/>
      </w:pPr>
      <w:r>
        <w:t xml:space="preserve">Đóng góp về mô hình và phương pháp</w:t>
      </w:r>
    </w:p>
    <w:p>
      <w:pPr>
        <w:pStyle w:val="FirstParagraph"/>
      </w:pPr>
      <w:r>
        <w:t xml:space="preserve">Đóng góp 5: Tám mô hình M0–M7 với điều tiết ba chiều (M7). Chuỗi mô hình lồng nhau cho phép kiểm định từng cơ chế riêng biệt trước khi tích hợp. M7 là mô hình đầu tiên trong tài liệu châu Á kiểm định đồng thời I×TCI×DAI điều tiết ba chiều kết hợp với tính không đồng nhất thời gian, cho phép kiểm tra xem TCI và DAI là bổ sung hay thay thế trong điều tiết quốc tế hóa và hiệu quả.</w:t>
      </w:r>
    </w:p>
    <w:p>
      <w:pPr>
        <w:pStyle w:val="BodyText"/>
      </w:pPr>
      <w:r>
        <w:t xml:space="preserve">Đóng góp 6: Mẫu gộp 88.869 doanh nghiệp (50 nền, gồm Nhật Bản), rộng nhất cho nghiên cứu quốc tế hóa và hiệu quả châu Á. Ba thế hệ lược đồ WBES được hòa hợp qua giao thức chi tiết. Mẫu gộp này đủ lớn để chạy nhân rộng mẫu con theo ICRV và giai đoạn thời gian với power đầy đủ.</w:t>
      </w:r>
    </w:p>
    <w:p>
      <w:pPr>
        <w:pStyle w:val="BodyText"/>
      </w:pPr>
      <w:r>
        <w:t xml:space="preserve">Đóng góp 7: Chiến lược nhận dạng đa tầng tích hợp biến công cụ. Kết hợp HC1/HC3 SE robust, hiệu ứng cố định hai chiều, nhận dạng IV (F bậc một &gt; 16), và Paternoster z-test cho so sánh xuyên nhóm tạo ra chiến lược nhận dạng mạnh nhất có thể với dữ liệu WBES cắt ngang. Đặc biệt, việc tách DAI nhân quả vs. phụ thuộc chọn lựa (từ bằng chứng P3 IV) là bước tiến quan trọng trong phân tích áp dụng số trong IB.</w:t>
      </w:r>
    </w:p>
    <w:p>
      <w:pPr>
        <w:pStyle w:val="BodyText"/>
      </w:pPr>
      <w:r>
        <w:t xml:space="preserve">Đóng góp 8: Thiết kế giai đoạn thời gian ba giai đoạn. Phân chia 14 sóng WBES thành ba giai đoạn (2009–12 / 2013–17 / 2018–25) và kiểm định tương tác FSTS×Year_bucket là thiết kế chưa được áp dụng trong tài liệu quốc tế hóa và hiệu quả cho châu Á. Bằng chứng từ P3 Việt Nam và P5 Trung Quốc neo đậu kỳ vọng thực nghiệm.</w:t>
      </w:r>
    </w:p>
    <w:bookmarkEnd w:id="82"/>
    <w:bookmarkStart w:id="83" w:name="hàm-ý-chính-sách"/>
    <w:p>
      <w:pPr>
        <w:pStyle w:val="Heading5"/>
      </w:pPr>
      <w:r>
        <w:t xml:space="preserve">Hàm ý chính sách</w:t>
      </w:r>
    </w:p>
    <w:p>
      <w:pPr>
        <w:pStyle w:val="FirstParagraph"/>
      </w:pPr>
      <w:r>
        <w:t xml:space="preserve">Cho doanh nghiệp Việt Nam và châu Á mới nổi:</w:t>
      </w:r>
    </w:p>
    <w:p>
      <w:pPr>
        <w:pStyle w:val="BodyText"/>
      </w:pPr>
      <w:r>
        <w:t xml:space="preserve">Đầu tư vào TCI trước DAI: bằng chứng biến công cụ (P3 Việt Nam) cho thấy chỉ TCI là nhân quả, trong khi DAI dương trong OLS là phụ thuộc chọn lựa. Doanh nghiệp nên ưu tiên xây dựng năng lực công nghệ thực chất (ISO, R&amp;D, công nghệ nước ngoài) trước khi đầu tư vào áp dụng số.</w:t>
      </w:r>
    </w:p>
    <w:p>
      <w:pPr>
        <w:pStyle w:val="BodyText"/>
      </w:pPr>
      <w:r>
        <w:t xml:space="preserve">Ngưỡng điểm uốn 39–46% FSTS cho Việt Nam: doanh nghiệp tiếp cận 40% FSTS cần đánh giá lại chiến lược quốc tế hóa, tăng cường năng lực điều phối thay vì chỉ tăng tỉ lệ xuất khẩu.</w:t>
      </w:r>
    </w:p>
    <w:p>
      <w:pPr>
        <w:pStyle w:val="BodyText"/>
      </w:pPr>
      <w:r>
        <w:t xml:space="preserve">DAI phát huy mạnh khi FSTS cao và môi trường thể chế tốt: Nhóm I (Singapore) cho thấy DAI×FSTS² = +3,119, khi doanh nghiệp đã ở mức FSTS cao và hoạt động trong môi trường thể chế tốt, DAI mới trở thành đòn bẩy mở rộng.</w:t>
      </w:r>
    </w:p>
    <w:p>
      <w:pPr>
        <w:pStyle w:val="BodyText"/>
      </w:pPr>
      <w:r>
        <w:t xml:space="preserve">Cho nhà hoạch định chính sách:</w:t>
      </w:r>
    </w:p>
    <w:p>
      <w:pPr>
        <w:pStyle w:val="BodyText"/>
      </w:pPr>
      <w:r>
        <w:t xml:space="preserve">Phổ ICRV cho thấy chính sách hỗ trợ quốc tế hóa cần phân biệt theo chế độ thể chế, những gì hiệu quả ở Singapore không nhất thiết hiệu quả ở Bangladesh.</w:t>
      </w:r>
    </w:p>
    <w:p>
      <w:pPr>
        <w:pStyle w:val="BodyText"/>
      </w:pPr>
      <w:r>
        <w:t xml:space="preserve">Tính không đồng nhất thời gian H6, chính sách năm 2025 không thể sao chép chính sách năm 2009; AI bùng nổ tạo ra cơ hội mới cho DAI trong giai đoạn 2018 trở đi.</w:t>
      </w:r>
    </w:p>
    <w:p>
      <w:pPr>
        <w:pStyle w:val="BodyText"/>
      </w:pPr>
      <w:r>
        <w:t xml:space="preserve">SIDS gánh nặng bắt buộc, các quốc đảo nhỏ Thái Bình Dương cần khung chính sách khác hoàn toàn, không áp dụng logic chữ U ngược chuẩn.</w:t>
      </w:r>
    </w:p>
    <w:p>
      <w:r>
        <w:pict>
          <v:rect style="width:0;height:1.5pt" o:hralign="center" o:hrstd="t" o:hr="t"/>
        </w:pict>
      </w:r>
    </w:p>
    <w:bookmarkEnd w:id="83"/>
    <w:bookmarkEnd w:id="84"/>
    <w:bookmarkEnd w:id="85"/>
    <w:bookmarkStart w:id="89" w:name="kết-luận-và-đề-xuất"/>
    <w:p>
      <w:pPr>
        <w:pStyle w:val="Heading3"/>
      </w:pPr>
      <w:r>
        <w:t xml:space="preserve">2.4 Kết luận và đề xuất</w:t>
      </w:r>
    </w:p>
    <w:bookmarkStart w:id="86" w:name="kết-luận"/>
    <w:p>
      <w:pPr>
        <w:pStyle w:val="Heading4"/>
      </w:pPr>
      <w:r>
        <w:t xml:space="preserve">2.4.1 Kết luận</w:t>
      </w:r>
    </w:p>
    <w:p>
      <w:pPr>
        <w:pStyle w:val="FirstParagraph"/>
      </w:pPr>
      <w:r>
        <w:t xml:space="preserve">Chuyên đề này xây dựng một mô hình nghiên cứu toàn diện về quan hệ quốc tế hóa – hiệu quả (I–P) cho châu Á và Thái Bình Dương. Mô hình tích hợp năm tầng lý thuyết, Uppsala, lý thuyết dựa trên nguồn lực, lý thuyết thể chế, lý thuyết thượng tầng quản trị, Khung chấp nhận số nền tảng, vào tám mô hình thực nghiệm M0–M7 có thể kiểm định trên mẫu gộp 88.869 doanh nghiệp WBES xuyên 50 nền kinh tế (gồm Nhật Bản) và 104 cặp quốc gia-năm. Hệ giả thuyết H1–H6 được phát triển có neo đậu thực nghiệm từ ba bản thảo đồng hành (P3 Việt Nam, P4 Singapore, P5 Trung Quốc), xác nhận tính khả nghiệm của khung đề xuất trước khi áp dụng cho toàn mẫu gộp.</w:t>
      </w:r>
    </w:p>
    <w:p>
      <w:pPr>
        <w:pStyle w:val="BodyText"/>
      </w:pPr>
      <w:r>
        <w:t xml:space="preserve">Kết quả dự kiến từ bằng chứng neo đậu: H1 (phi tuyến) xác nhận chữ U ngược ở hầu hết nhóm ICRV với phổ điểm uốn từ Nhóm I đến Nhóm VI; H2 (TCI nâng mặt bằng) TCI dương bền vững và nhân quả; H3a (DAI Emerging/Frontier) khám phá; H3b (DAI Advanced) β(FSTS²×DAI) dương trong Nhóm I (P4 xác nhận), null/phụ thuộc chọn lựa trong Nhóm IV (P3 IV null); H4a (Kinh nghiệm QL) exp_manager×FSTS dương; H4b (Học vấn QL) educ_manager×FSTS dương; H4c (Giới tính) khám phá; H5 (ICRV phổ thể chế) điểm uốn phổ thể chế từ Nhóm I đến VI, Nhóm VI gánh nặng bắt buộc; H6 (Thời gian) DAI dịch chuyển 2009 xuống 2023, TCI tăng cường theo thời gian.</w:t>
      </w:r>
    </w:p>
    <w:p>
      <w:pPr>
        <w:pStyle w:val="BodyText"/>
      </w:pPr>
      <w:r>
        <w:t xml:space="preserve">Đóng góp trung tâm, CDCM, giải thích tại sao DAI hoạt động như nguồn lực mở rộng tình huống chứ không phải phần thưởng đồng nhất: tác động phụ thuộc đồng thời vào chế độ thể chế, mức FSTS, và mức độ bão hòa số của nền kinh tế. Đây là bước tiến lý thuyết quan trọng, kết nối lý thuyết IB số với lý thuyết thể chế trong một khung thống nhất và có thể kiểm định.</w:t>
      </w:r>
    </w:p>
    <w:p>
      <w:pPr>
        <w:pStyle w:val="BodyText"/>
      </w:pPr>
      <w:r>
        <w:t xml:space="preserve">Thông điệp chính sách cốt lõi: không có một công thức duy nhất cho quốc tế hóa thành công, chế độ thể chế, năng lực công nghệ nội tại, và mức độ số hóa cùng quyết định hiệu quả của chiến lược xuất khẩu. Chính sách và chiến lược doanh nghiệp cần được hiệu chỉnh theo vị trí trên bản đồ ICRV.</w:t>
      </w:r>
    </w:p>
    <w:bookmarkEnd w:id="86"/>
    <w:bookmarkStart w:id="87" w:name="hạn-chế-nghiên-cứu"/>
    <w:p>
      <w:pPr>
        <w:pStyle w:val="Heading4"/>
      </w:pPr>
      <w:r>
        <w:t xml:space="preserve">2.4.2 Hạn chế nghiên cứu</w:t>
      </w:r>
    </w:p>
    <w:p>
      <w:pPr>
        <w:pStyle w:val="FirstParagraph"/>
      </w:pPr>
      <w:r>
        <w:t xml:space="preserve">Chuyên đề này có ba giới hạn suy diễn cần được thừa nhận rõ ràng theo cấu trúc ba phần: điều không thể kết luận, phương pháp khắc phục, và nguồn tham chiếu phương pháp.</w:t>
      </w:r>
    </w:p>
    <w:p>
      <w:pPr>
        <w:pStyle w:val="BodyText"/>
      </w:pPr>
      <w:r>
        <w:rPr>
          <w:bCs/>
          <w:b/>
        </w:rPr>
        <w:t xml:space="preserve">(a) Điều không thể kết luận từ khung nghiên cứu này:</w:t>
      </w:r>
    </w:p>
    <w:p>
      <w:pPr>
        <w:pStyle w:val="BodyText"/>
      </w:pPr>
      <w:r>
        <w:t xml:space="preserve">Thứ nhất, dữ liệu WBES không phải dữ liệu bảng chuẩn, mỗi sóng là thiết kế cắt ngang với mẫu mới, không theo dõi cùng một doanh nghiệp qua thời gian. Do đó, mô hình M0–M7 xác lập</w:t>
      </w:r>
      <w:r>
        <w:t xml:space="preserve"> </w:t>
      </w:r>
      <w:r>
        <w:rPr>
          <w:iCs/>
          <w:i/>
        </w:rPr>
        <w:t xml:space="preserve">liên kết có điều kiện</w:t>
      </w:r>
      <w:r>
        <w:t xml:space="preserve"> </w:t>
      </w:r>
      <w:r>
        <w:t xml:space="preserve">chứ không phải</w:t>
      </w:r>
      <w:r>
        <w:t xml:space="preserve"> </w:t>
      </w:r>
      <w:r>
        <w:rPr>
          <w:iCs/>
          <w:i/>
        </w:rPr>
        <w:t xml:space="preserve">tác động nhân quả</w:t>
      </w:r>
      <w:r>
        <w:t xml:space="preserve"> </w:t>
      </w:r>
      <w:r>
        <w:t xml:space="preserve">giữa quốc tế hóa và hiệu quả; không thể loại trừ khả năng doanh nghiệp vốn hiệu quả hơn sẽ xuất khẩu nhiều hơn (reverse causality) mà không có biến công cụ hợp lệ hoặc thiết kế thực nghiệm tự nhiên.</w:t>
      </w:r>
    </w:p>
    <w:p>
      <w:pPr>
        <w:pStyle w:val="BodyText"/>
      </w:pPr>
      <w:r>
        <w:t xml:space="preserve">Thứ hai, DAI bị giới hạn ở Bậc 1–2 (website và e-payment) do hạn chế lược đồ WBES. Không thể kết luận về vai trò của năng lực số Bậc 3–4, tích hợp ERP, triển khai AI, quản trị dữ liệu xuyên biên giới, đối với mối quan hệ quốc tế hóa và hiệu quả. Kết luận H3 chỉ hợp lệ trong ranh giới đo lường Bậc 1–2; ngoài ranh giới này, CDCM chưa được kiểm định thực nghiệm.</w:t>
      </w:r>
    </w:p>
    <w:p>
      <w:pPr>
        <w:pStyle w:val="BodyText"/>
      </w:pPr>
      <w:r>
        <w:t xml:space="preserve">Thứ ba, FSTS (Foreign Sales to Total Sales) chỉ nắm bắt xuất khẩu hàng hóa và dịch vụ trực tiếp, bỏ qua FDI, licensing, franchising, và các hình thức quốc tế hóa phi xuất khẩu khác. H1 (phi tuyến) có thể có dạng hàm khác nhau nếu đo bằng chỉ số quốc tế hóa đa chiều hơn như DOI hoặc entropy index.</w:t>
      </w:r>
    </w:p>
    <w:p>
      <w:pPr>
        <w:pStyle w:val="BodyText"/>
      </w:pPr>
      <w:r>
        <w:t xml:space="preserve">Thứ tư, biến nhà quản trị trong H4a–H4c bị hạn chế do WBES không đo khoảng cách tâm lý, gắn kết mạng lưới quốc tế, hay cấu trúc hội đồng quản trị đầy đủ. Kiểm định H4a–H4c vì vậy là</w:t>
      </w:r>
      <w:r>
        <w:t xml:space="preserve"> </w:t>
      </w:r>
      <w:r>
        <w:rPr>
          <w:iCs/>
          <w:i/>
        </w:rPr>
        <w:t xml:space="preserve">chỉ báo gián tiếp</w:t>
      </w:r>
      <w:r>
        <w:t xml:space="preserve"> </w:t>
      </w:r>
      <w:r>
        <w:t xml:space="preserve">của cơ chế lý thuyết thượng tầng quản trị (Hambrick &amp; Mason, 1984), không phải kiểm định trực tiếp các cấu trúc lý thuyết gốc.</w:t>
      </w:r>
    </w:p>
    <w:p>
      <w:pPr>
        <w:pStyle w:val="BodyText"/>
      </w:pPr>
      <w:r>
        <w:rPr>
          <w:bCs/>
          <w:b/>
        </w:rPr>
        <w:t xml:space="preserve">(b) Phương pháp khắc phục cho nghiên cứu tương lai:</w:t>
      </w:r>
    </w:p>
    <w:p>
      <w:pPr>
        <w:pStyle w:val="BodyText"/>
      </w:pPr>
      <w:r>
        <w:t xml:space="preserve">Để giải quyết vấn đề nhân quả, các nghiên cứu tiếp theo có thể sử dụng: (i) biến công cụ dựa trên tỷ lệ áp dụng trung bình ngành × vùng × sóng như IV cho TCI và DAI (chiến lược đã áp dụng thành công trong P3 với first-stage F = 22–35, vượt ngưỡng Staiger–Stock); (ii) thiết kế difference-in-differences khai thác các cú sốc chính sách ngoại sinh (ví dụ: CPTPP 2018, chiến tranh thương mại Mỹ-Trung 2018-2019) như ranh giới thực nghiệm tự nhiên; hoặc (iii) phân tích panel dài với dữ liệu WBES core panel 2023-2027 khi có sẵn.</w:t>
      </w:r>
    </w:p>
    <w:p>
      <w:pPr>
        <w:pStyle w:val="BodyText"/>
      </w:pPr>
      <w:r>
        <w:t xml:space="preserve">Để mở rộng đo lường số hóa, nghiên cứu tương lai có thể kết hợp WBES với dữ liệu nền tảng số cấp ngành (World Bank Digital Progress and Trends Report, ITU DDI) hoặc thu thập dữ liệu Bậc 3–4 từ báo cáo thường niên doanh nghiệp niêm yết. Khi lược đồ B-READY bổ sung thêm mô-đun về AI và ERP, CDCM có thể được kiểm định đầy đủ hơn.</w:t>
      </w:r>
    </w:p>
    <w:p>
      <w:pPr>
        <w:pStyle w:val="BodyText"/>
      </w:pPr>
      <w:r>
        <w:t xml:space="preserve">Để mở rộng thước đo quốc tế hóa vượt FSTS, nghiên cứu có thể tích hợp dữ liệu UNCTAD FDI Bilateral Investment Matrix với WBES theo mã quốc gia-ngành, hoặc dùng entropy index đa thị trường như trong Contractor et al. (2003).</w:t>
      </w:r>
    </w:p>
    <w:p>
      <w:pPr>
        <w:pStyle w:val="BodyText"/>
      </w:pPr>
      <w:r>
        <w:rPr>
          <w:bCs/>
          <w:b/>
        </w:rPr>
        <w:t xml:space="preserve">(c) Phương pháp và nguồn tham chiếu:</w:t>
      </w:r>
    </w:p>
    <w:p>
      <w:pPr>
        <w:pStyle w:val="BodyText"/>
      </w:pPr>
      <w:r>
        <w:t xml:space="preserve">Về nhân quả hóa quốc tế hóa và hiệu quả: Angrist &amp; Pischke (2009); Oster (2019) về δ-stability bounds; Wolfolds &amp; Siegel (2019) về điều kiện hợp lệ của Heckman. Về tổng hợp bằng chứng xuyên bối cảnh: Sutton &amp; Higgins (2008), dữ liệu bảng cho phân tích tổng hợp; Borenstein et al. (2021), Bayesian hồi quy phân tích tổng hợp với thông tin tiền nghiệm. Về mở rộng bậc số hóa: Verhoef et al. (2021), phân cấp Bậc 1–4. Về mở rộng quốc tế hóa đa chiều: Contractor et al. (2003); Sullivan (1994) về DOI chỉ số hợp thành.</w:t>
      </w:r>
    </w:p>
    <w:p>
      <w:r>
        <w:pict>
          <v:rect style="width:0;height:1.5pt" o:hralign="center" o:hrstd="t" o:hr="t"/>
        </w:pict>
      </w:r>
    </w:p>
    <w:bookmarkEnd w:id="87"/>
    <w:bookmarkStart w:id="88" w:name="hướng-nghiên-cứu-tiếp-theo"/>
    <w:p>
      <w:pPr>
        <w:pStyle w:val="Heading4"/>
      </w:pPr>
      <w:r>
        <w:t xml:space="preserve">2.4.3 Hướng nghiên cứu tiếp theo</w:t>
      </w:r>
    </w:p>
    <w:p>
      <w:pPr>
        <w:pStyle w:val="FirstParagraph"/>
      </w:pPr>
      <w:r>
        <w:t xml:space="preserve">Chuyên đề này đặt nền tảng lý thuyết và thực nghiệm cho năm hướng nghiên cứu cụ thể trong chuỗi luận án và xa hơn:</w:t>
      </w:r>
    </w:p>
    <w:p>
      <w:pPr>
        <w:pStyle w:val="BodyText"/>
      </w:pPr>
      <w:r>
        <w:rPr>
          <w:bCs/>
          <w:b/>
        </w:rPr>
        <w:t xml:space="preserve">Hướng 1, P6: Tổng quan định lượng ba tầng (three-level MARA, mục tiêu JWB):</w:t>
      </w:r>
      <w:r>
        <w:t xml:space="preserve"> </w:t>
      </w:r>
      <w:r>
        <w:t xml:space="preserve">Bản thảo P6 đã hoàn thành, mở rộng ICBEF 2025 cơ sở (Đỗ &amp; Phan, 2024, k=113) lên</w:t>
      </w:r>
      <w:r>
        <w:t xml:space="preserve"> </w:t>
      </w:r>
      <w:r>
        <w:rPr>
          <w:bCs/>
          <w:b/>
        </w:rPr>
        <w:t xml:space="preserve">k=238</w:t>
      </w:r>
      <w:r>
        <w:t xml:space="preserve"> </w:t>
      </w:r>
      <w:r>
        <w:t xml:space="preserve">(K=288 effect sizes, 49 nền kinh tế) với hệ thống tìm kiếm PRISMA 2020 trên Web of Science + Scopus (1977–2026). Ba biến điều tiết mới: (i) cDAI, mức độ số hóa cấp quốc gia; (ii) ICRV 5 nhóm; (iii) DPL giai đoạn. Kết quả MARA xác nhận: gộp</w:t>
      </w:r>
      <w:r>
        <w:t xml:space="preserve"> </w:t>
      </w:r>
      <w:r>
        <w:rPr>
          <w:iCs/>
          <w:i/>
        </w:rPr>
        <w:t xml:space="preserve">r</w:t>
      </w:r>
      <w:r>
        <w:t xml:space="preserve">=0,074 (CI [0,060; 0,088]), I²=62,4%; ICRV Q_M=17,35 (p=.002), H1 điều tiết thể chế được hỗ trợ; cDAI và DPL không có ý nghĩa (H2, H3 không được hỗ trợ). Phát hiện chính: lệch lạc công bố xác nhận qua Begg–Mazumdar τ=−0,132 (p=.001), cắt và điền k=57 imputed,</w:t>
      </w:r>
      <w:r>
        <w:t xml:space="preserve"> </w:t>
      </w:r>
      <w:r>
        <w:rPr>
          <w:iCs/>
          <w:i/>
        </w:rPr>
        <w:t xml:space="preserve">r</w:t>
      </w:r>
      <w:r>
        <w:t xml:space="preserve">_adj=0,035, gộp effect thực tế thấp hơn khoảng 50% so với ước lượng thô. Đóng góp của P6 trong khuôn khổ CD2: xác nhận phổ thể chế ICRV tổng thể (Q_M có ý nghĩa) nhưng không đủ k ở mỗi nhóm để xác nhận đường phổ thể chế đơn điệu E1a/E1b.</w:t>
      </w:r>
    </w:p>
    <w:p>
      <w:pPr>
        <w:pStyle w:val="BodyText"/>
      </w:pPr>
      <w:r>
        <w:rPr>
          <w:bCs/>
          <w:b/>
        </w:rPr>
        <w:t xml:space="preserve">Hướng 2, P7: Kiểm định H1–H6 toàn mẫu gộp 50 nền kinh tế (mục tiêu IBR):</w:t>
      </w:r>
      <w:r>
        <w:t xml:space="preserve"> </w:t>
      </w:r>
      <w:r>
        <w:t xml:space="preserve">P7 đã ước lượng trên N=81.022 doanh nghiệp, 50 nền kinh tế châu Á và Thái Bình Dương, 103 cặp nền kinh tế và năm, 6 nhóm ICRV. Kết quả xác nhận: H1 (phi tuyến) điểm uốn M5 = 43,6% (Lind–Mehlum p&lt;,001); H2 TCI hiệu ứng mức +0,141 (p&lt;,001); H3 DAI hiệu ứng mức +0,201 (p&lt;,001), tương tác độ cong cùng chiều nhưng không ý nghĩa; H5 ba vùng thể chế, chữ U ngược</w:t>
      </w:r>
      <w:r>
        <w:t xml:space="preserve"> </w:t>
      </w:r>
      <w:r>
        <w:rPr>
          <w:bCs/>
          <w:b/>
        </w:rPr>
        <w:t xml:space="preserve">rõ</w:t>
      </w:r>
      <w:r>
        <w:t xml:space="preserve"> </w:t>
      </w:r>
      <w:r>
        <w:t xml:space="preserve">từ SIDS/Frontier (~55%) xuống tiên tiến đổi mới (~28%); DAI×ICRV p=.012 (digital shield strongest khi thể chế yếu). P3 (Nhóm IV), P4 (Nhóm I), P5 (Nhóm III) cung cấp neo đậu cross-context đã được xác nhận bởi gộp 50-economy results (gồm Nhật Bản).</w:t>
      </w:r>
    </w:p>
    <w:p>
      <w:pPr>
        <w:pStyle w:val="BodyText"/>
      </w:pPr>
      <w:r>
        <w:rPr>
          <w:bCs/>
          <w:b/>
        </w:rPr>
        <w:t xml:space="preserve">Hướng 3, P8: SIDS Thái Bình Dương, gánh nặng bắt buộc (mục tiêu World Development):</w:t>
      </w:r>
      <w:r>
        <w:t xml:space="preserve"> </w:t>
      </w:r>
      <w:r>
        <w:t xml:space="preserve">P8 đã hoàn thành,</w:t>
      </w:r>
      <w:r>
        <w:t xml:space="preserve"> </w:t>
      </w:r>
      <w:r>
        <w:rPr>
          <w:bCs/>
          <w:b/>
        </w:rPr>
        <w:t xml:space="preserve">mẫu chính 7 nền Pacific SIDS (mẫu gộp N = 1.450; 212 cơ sở có xuất khẩu, 14,6%), β(FSTS_c) = −1,339</w:t>
      </w:r>
      <w:r>
        <w:t xml:space="preserve"> </w:t>
      </w:r>
      <w:r>
        <w:t xml:space="preserve">(bản dựng ba cụm, minh họa); kiểm định độ vững mở rộng 9 nền (thêm Comoros + Timor-Leste, N≈1.469, β≈−0,4), minh họa cho gánh nặng quốc tế hóa cưỡng bức như trường hợp giới hạn lý thuyết (trên mẫu đầy đủ 7 nền, dạng chữ U ngược mất cấu trúc; hệ số âm mạnh chỉ ở bản dựng hạn chế ba cụm), nhất quán với giả thuyết gánh nặng bắt buộc (Briguglio, 1995; Bertram, 2006). Khoảng trống về điều kiện biên FIP (Nhóm VI SIDS) trong CĐ2 đã được lấp đầy bởi P8.</w:t>
      </w:r>
    </w:p>
    <w:p>
      <w:pPr>
        <w:pStyle w:val="BodyText"/>
      </w:pPr>
      <w:r>
        <w:rPr>
          <w:bCs/>
          <w:b/>
        </w:rPr>
        <w:t xml:space="preserve">Hướng 4, CDCM Bậc 3–4 extension (MIS Quarterly hoặc Information Systems Research):</w:t>
      </w:r>
      <w:r>
        <w:t xml:space="preserve"> </w:t>
      </w:r>
      <w:r>
        <w:t xml:space="preserve">Khi lược đồ B-READY (World Bank, 2023–2027) và WBES mới bổ sung thêm mô-đun AI, ERP, và quản trị dữ liệu, CDCM có thể được kiểm định đầy đủ bốn tầng Verhoef et al. (2021). Câu hỏi lý thuyết: liệu DAI Bậc 3–4 có chuyển vai trò từ nguồn lực tình huống (chỉ phát huy ở FSTS cao) thành nguồn lực nền tảng (nâng mặt bằng đồng nhất), và điều kiện chuyển đổi là gì (ngưỡng thể chế, quy mô doanh nghiệp, hay sóng công nghệ)?</w:t>
      </w:r>
    </w:p>
    <w:p>
      <w:pPr>
        <w:pStyle w:val="BodyText"/>
      </w:pPr>
      <w:r>
        <w:rPr>
          <w:bCs/>
          <w:b/>
        </w:rPr>
        <w:t xml:space="preserve">Hướng 5, Dữ liệu bảng dọc (panel longitudinal) WBES core 2023–2027 (JIBS hoặc SMJ):</w:t>
      </w:r>
      <w:r>
        <w:t xml:space="preserve"> </w:t>
      </w:r>
      <w:r>
        <w:t xml:space="preserve">tập dữ liệu bảng lõi (WBES core panel) theo dõi một nhóm doanh nghiệp trong ít nhất hai sóng liên tiếp, cho phép kiểm định nhân quả TCI sang năng suất và DAI sang FSTS (theo hướng: số hóa có thúc đẩy xuất khẩu không, thay vì chỉ làm tăng năng suất?) không phụ thuộc vào giả định IV. Đây là hướng nghiên cứu thiết yếu để chuyển H2 và H3 từ liên kết có điều kiện thành tác động nhân quả được xác nhận.</w:t>
      </w:r>
    </w:p>
    <w:p>
      <w:r>
        <w:pict>
          <v:rect style="width:0;height:1.5pt" o:hralign="center" o:hrstd="t" o:hr="t"/>
        </w:pict>
      </w:r>
    </w:p>
    <w:bookmarkEnd w:id="88"/>
    <w:bookmarkEnd w:id="89"/>
    <w:bookmarkEnd w:id="90"/>
    <w:bookmarkStart w:id="91" w:name="tài-liệu-tham-khảo"/>
    <w:p>
      <w:pPr>
        <w:pStyle w:val="Heading2"/>
      </w:pPr>
      <w:r>
        <w:t xml:space="preserve">TÀI LIỆU THAM KHẢO</w:t>
      </w:r>
    </w:p>
    <w:p>
      <w:pPr>
        <w:pStyle w:val="FirstParagraph"/>
      </w:pPr>
      <w:r>
        <w:t xml:space="preserve">Angrist, J. D., &amp; Pischke, J.-S. (2009).</w:t>
      </w:r>
      <w:r>
        <w:t xml:space="preserve"> </w:t>
      </w:r>
      <w:r>
        <w:rPr>
          <w:iCs/>
          <w:i/>
        </w:rPr>
        <w:t xml:space="preserve">Mostly harmless econometrics: An empiricist’s companion</w:t>
      </w:r>
      <w:r>
        <w:t xml:space="preserve">. Princeton University Press.</w:t>
      </w:r>
    </w:p>
    <w:p>
      <w:pPr>
        <w:pStyle w:val="BodyText"/>
      </w:pPr>
      <w:r>
        <w:t xml:space="preserve">Banalieva, E. R., &amp; Dhanaraj, C. (2019). Internalization theory for the digital economy.</w:t>
      </w:r>
      <w:r>
        <w:t xml:space="preserve"> </w:t>
      </w:r>
      <w:r>
        <w:rPr>
          <w:iCs/>
          <w:i/>
        </w:rPr>
        <w:t xml:space="preserve">Journal of International Business Studies, 50</w:t>
      </w:r>
      <w:r>
        <w:t xml:space="preserve">(8), 1372–1387. https://doi.org/10.1057/s41267-019-00243-7</w:t>
      </w:r>
    </w:p>
    <w:p>
      <w:pPr>
        <w:pStyle w:val="BodyText"/>
      </w:pPr>
      <w:r>
        <w:t xml:space="preserve">Barney, J. (1991). Firm resources and sustained competitive advantage.</w:t>
      </w:r>
      <w:r>
        <w:t xml:space="preserve"> </w:t>
      </w:r>
      <w:r>
        <w:rPr>
          <w:iCs/>
          <w:i/>
        </w:rPr>
        <w:t xml:space="preserve">Journal of Management, 17</w:t>
      </w:r>
      <w:r>
        <w:t xml:space="preserve">(1), 99–120. https://doi.org/10.1177/014920639101700108</w:t>
      </w:r>
    </w:p>
    <w:p>
      <w:pPr>
        <w:pStyle w:val="BodyText"/>
      </w:pPr>
      <w:r>
        <w:t xml:space="preserve">Bausch, A., &amp; Krist, M. (2007). The effect of context-related moderators on the internationalization-performance relationship: Evidence from meta-analysis.</w:t>
      </w:r>
      <w:r>
        <w:t xml:space="preserve"> </w:t>
      </w:r>
      <w:r>
        <w:rPr>
          <w:iCs/>
          <w:i/>
        </w:rPr>
        <w:t xml:space="preserve">Management International Review, 47</w:t>
      </w:r>
      <w:r>
        <w:t xml:space="preserve">(3), 319–347.</w:t>
      </w:r>
    </w:p>
    <w:p>
      <w:pPr>
        <w:pStyle w:val="BodyText"/>
      </w:pPr>
      <w:r>
        <w:t xml:space="preserve">Bertram, G. (2006). Introduction: The MIRAB model in the twenty-first century.</w:t>
      </w:r>
      <w:r>
        <w:t xml:space="preserve"> </w:t>
      </w:r>
      <w:r>
        <w:rPr>
          <w:iCs/>
          <w:i/>
        </w:rPr>
        <w:t xml:space="preserve">Asia Pacific Viewpoint, 47</w:t>
      </w:r>
      <w:r>
        <w:t xml:space="preserve">(1), 1–13.</w:t>
      </w:r>
    </w:p>
    <w:p>
      <w:pPr>
        <w:pStyle w:val="BodyText"/>
      </w:pPr>
      <w:r>
        <w:t xml:space="preserve">Beugelsdijk, S., Kostova, T., Kunst, V. E., Spadafora, E., &amp; van Essen, M. (2018). Cultural distance and firm internationalization: A meta-analytical review and theoretical implications.</w:t>
      </w:r>
      <w:r>
        <w:t xml:space="preserve"> </w:t>
      </w:r>
      <w:r>
        <w:rPr>
          <w:iCs/>
          <w:i/>
        </w:rPr>
        <w:t xml:space="preserve">Journal of Management, 44</w:t>
      </w:r>
      <w:r>
        <w:t xml:space="preserve">(1), 89–130. https://doi.org/10.1177/0149206317729027</w:t>
      </w:r>
    </w:p>
    <w:p>
      <w:pPr>
        <w:pStyle w:val="BodyText"/>
      </w:pPr>
      <w:r>
        <w:t xml:space="preserve">Bhandari, K. R., Ranta, M., &amp; Salo, J. (2023). The resource-based view, stakeholder capitalism, ESG, and sustainable competitive advantage: The firm’s embeddedness into ecology, society, and governance.</w:t>
      </w:r>
      <w:r>
        <w:t xml:space="preserve"> </w:t>
      </w:r>
      <w:r>
        <w:rPr>
          <w:iCs/>
          <w:i/>
        </w:rPr>
        <w:t xml:space="preserve">Business Strategy and the Environment, 32</w:t>
      </w:r>
      <w:r>
        <w:t xml:space="preserve">(4), 1525–1541.</w:t>
      </w:r>
    </w:p>
    <w:p>
      <w:pPr>
        <w:pStyle w:val="BodyText"/>
      </w:pPr>
      <w:r>
        <w:t xml:space="preserve">Bharadwaj, A., El Sawy, O. A., Pavlou, P. A., &amp; Venkatraman, N. (2013). Digital business strategy: Toward a next generation of insights.</w:t>
      </w:r>
      <w:r>
        <w:t xml:space="preserve"> </w:t>
      </w:r>
      <w:r>
        <w:rPr>
          <w:iCs/>
          <w:i/>
        </w:rPr>
        <w:t xml:space="preserve">MIS Quarterly, 37</w:t>
      </w:r>
      <w:r>
        <w:t xml:space="preserve">(2), 471–482. https://doi.org/10.25300/MISQ/2013/37:2.3</w:t>
      </w:r>
    </w:p>
    <w:p>
      <w:pPr>
        <w:pStyle w:val="BodyText"/>
      </w:pPr>
      <w:r>
        <w:t xml:space="preserve">Borenstein, M., Hedges, L. V., Higgins, J. P. T., &amp; Rothstein, H. R. (2009).</w:t>
      </w:r>
      <w:r>
        <w:t xml:space="preserve"> </w:t>
      </w:r>
      <w:r>
        <w:rPr>
          <w:iCs/>
          <w:i/>
        </w:rPr>
        <w:t xml:space="preserve">Introduction to meta-analysis</w:t>
      </w:r>
      <w:r>
        <w:t xml:space="preserve">. Wiley. https://doi.org/10.1002/9780470743386</w:t>
      </w:r>
    </w:p>
    <w:p>
      <w:pPr>
        <w:pStyle w:val="BodyText"/>
      </w:pPr>
      <w:r>
        <w:t xml:space="preserve">Briguglio, L. (1995). Small island developing states and their economic vulnerabilities.</w:t>
      </w:r>
      <w:r>
        <w:t xml:space="preserve"> </w:t>
      </w:r>
      <w:r>
        <w:rPr>
          <w:iCs/>
          <w:i/>
        </w:rPr>
        <w:t xml:space="preserve">World Development, 23</w:t>
      </w:r>
      <w:r>
        <w:t xml:space="preserve">(9), 1615–1632. https://doi.org/10.1016/0305-750X(95)00065-K</w:t>
      </w:r>
    </w:p>
    <w:p>
      <w:pPr>
        <w:pStyle w:val="BodyText"/>
      </w:pPr>
      <w:r>
        <w:t xml:space="preserve">Buckley, P. J., &amp; Casson, M. C. (1976).</w:t>
      </w:r>
      <w:r>
        <w:t xml:space="preserve"> </w:t>
      </w:r>
      <w:r>
        <w:rPr>
          <w:iCs/>
          <w:i/>
        </w:rPr>
        <w:t xml:space="preserve">The future of the multinational enterprise</w:t>
      </w:r>
      <w:r>
        <w:t xml:space="preserve">. Macmillan.</w:t>
      </w:r>
    </w:p>
    <w:p>
      <w:pPr>
        <w:pStyle w:val="BodyText"/>
      </w:pPr>
      <w:r>
        <w:t xml:space="preserve">Cannella, A. A., Jr., Park, J.-H., &amp; Lee, H.-U. (2008). Top management team functional background diversity and firm performance: Examining the roles of team member colocation and environmental uncertainty.</w:t>
      </w:r>
      <w:r>
        <w:t xml:space="preserve"> </w:t>
      </w:r>
      <w:r>
        <w:rPr>
          <w:iCs/>
          <w:i/>
        </w:rPr>
        <w:t xml:space="preserve">Academy of Management Journal, 51</w:t>
      </w:r>
      <w:r>
        <w:t xml:space="preserve">(4), 768–784. https://doi.org/10.5465/amj.2008.33665310</w:t>
      </w:r>
    </w:p>
    <w:p>
      <w:pPr>
        <w:pStyle w:val="BodyText"/>
      </w:pPr>
      <w:r>
        <w:t xml:space="preserve">Caves, R. E. (1971). International corporations: The industrial economics of foreign investment.</w:t>
      </w:r>
      <w:r>
        <w:t xml:space="preserve"> </w:t>
      </w:r>
      <w:r>
        <w:rPr>
          <w:iCs/>
          <w:i/>
        </w:rPr>
        <w:t xml:space="preserve">Economica, 38</w:t>
      </w:r>
      <w:r>
        <w:t xml:space="preserve">(149), 1–27.</w:t>
      </w:r>
    </w:p>
    <w:p>
      <w:pPr>
        <w:pStyle w:val="BodyText"/>
      </w:pPr>
      <w:r>
        <w:t xml:space="preserve">Chen, S., &amp; Tan, H. (2012). Region effects in the internationalization–performance relationship in Chinese firms.</w:t>
      </w:r>
      <w:r>
        <w:t xml:space="preserve"> </w:t>
      </w:r>
      <w:r>
        <w:rPr>
          <w:iCs/>
          <w:i/>
        </w:rPr>
        <w:t xml:space="preserve">Journal of World Business, 47</w:t>
      </w:r>
      <w:r>
        <w:t xml:space="preserve">(1), 73–80. https://doi.org/10.1016/j.jwb.2010.10.019</w:t>
      </w:r>
    </w:p>
    <w:p>
      <w:pPr>
        <w:pStyle w:val="BodyText"/>
      </w:pPr>
      <w:r>
        <w:t xml:space="preserve">Cohen, W. M., &amp; Levinthal, D. A. (1990). Absorptive capacity: A new perspective on learning and innovation.</w:t>
      </w:r>
      <w:r>
        <w:t xml:space="preserve"> </w:t>
      </w:r>
      <w:r>
        <w:rPr>
          <w:iCs/>
          <w:i/>
        </w:rPr>
        <w:t xml:space="preserve">Administrative Science Quarterly, 35</w:t>
      </w:r>
      <w:r>
        <w:t xml:space="preserve">(1), 128–152. https://doi.org/10.2307/2393553</w:t>
      </w:r>
    </w:p>
    <w:p>
      <w:pPr>
        <w:pStyle w:val="BodyText"/>
      </w:pPr>
      <w:r>
        <w:t xml:space="preserve">Coltman, T., Devinney, T. M., Midgley, D. F., &amp; Venaik, S. (2008). Formative versus reflective measurement models: Two applications of formative measurement.</w:t>
      </w:r>
      <w:r>
        <w:t xml:space="preserve"> </w:t>
      </w:r>
      <w:r>
        <w:rPr>
          <w:iCs/>
          <w:i/>
        </w:rPr>
        <w:t xml:space="preserve">Journal of Business Research, 61</w:t>
      </w:r>
      <w:r>
        <w:t xml:space="preserve">(12), 1250–1262. https://doi.org/10.1016/j.jbusres.2008.01.013</w:t>
      </w:r>
    </w:p>
    <w:p>
      <w:pPr>
        <w:pStyle w:val="BodyText"/>
      </w:pPr>
      <w:r>
        <w:t xml:space="preserve">Combs, J. G., Crook, T. R., &amp; Shook, C. L. (2005). The dimensionality of organizational performance and its implications for strategic management research. In D. J. Ketchen &amp; D. D. Bergh (Eds.),</w:t>
      </w:r>
      <w:r>
        <w:t xml:space="preserve"> </w:t>
      </w:r>
      <w:r>
        <w:rPr>
          <w:iCs/>
          <w:i/>
        </w:rPr>
        <w:t xml:space="preserve">Research methodology in strategy and management</w:t>
      </w:r>
      <w:r>
        <w:t xml:space="preserve"> </w:t>
      </w:r>
      <w:r>
        <w:t xml:space="preserve">(Vol. 2, pp. 259–286). Emerald. https://doi.org/10.1016/S1479-8387(05)02011-4</w:t>
      </w:r>
    </w:p>
    <w:p>
      <w:pPr>
        <w:pStyle w:val="BodyText"/>
      </w:pPr>
      <w:r>
        <w:t xml:space="preserve">Contractor, F. J. (2012). Why do multinational firms exist? A theory note about the effect of multinational expansion on performance and recent methodological critiques.</w:t>
      </w:r>
      <w:r>
        <w:t xml:space="preserve"> </w:t>
      </w:r>
      <w:r>
        <w:rPr>
          <w:iCs/>
          <w:i/>
        </w:rPr>
        <w:t xml:space="preserve">Global Strategy Journal, 2</w:t>
      </w:r>
      <w:r>
        <w:t xml:space="preserve">(4), 318–331.</w:t>
      </w:r>
    </w:p>
    <w:p>
      <w:pPr>
        <w:pStyle w:val="BodyText"/>
      </w:pPr>
      <w:r>
        <w:t xml:space="preserve">Contractor, F. J., Kundu, S. K., &amp; Hsu, C.-C. (2003). A three-stage theory of international expansion: The link between multinationality and performance in the service sector.</w:t>
      </w:r>
      <w:r>
        <w:t xml:space="preserve"> </w:t>
      </w:r>
      <w:r>
        <w:rPr>
          <w:iCs/>
          <w:i/>
        </w:rPr>
        <w:t xml:space="preserve">Journal of International Business Studies, 34</w:t>
      </w:r>
      <w:r>
        <w:t xml:space="preserve">(1), 5–18. https://doi.org/10.1057/palgrave.jibs.8400003</w:t>
      </w:r>
    </w:p>
    <w:p>
      <w:pPr>
        <w:pStyle w:val="BodyText"/>
      </w:pPr>
      <w:r>
        <w:t xml:space="preserve">Corley, K. G., &amp; Gioia, D. A. (2011). Building theory about theory building: What constitutes a theoretical contribution?</w:t>
      </w:r>
      <w:r>
        <w:t xml:space="preserve"> </w:t>
      </w:r>
      <w:r>
        <w:rPr>
          <w:iCs/>
          <w:i/>
        </w:rPr>
        <w:t xml:space="preserve">Academy of Management Review, 36</w:t>
      </w:r>
      <w:r>
        <w:t xml:space="preserve">(1), 12–32. https://doi.org/10.5465/amr.2009.0486</w:t>
      </w:r>
    </w:p>
    <w:p>
      <w:pPr>
        <w:pStyle w:val="BodyText"/>
      </w:pPr>
      <w:r>
        <w:t xml:space="preserve">Cronbach, L. J. (1951). Coefficient alpha and the internal structure of tests.</w:t>
      </w:r>
      <w:r>
        <w:t xml:space="preserve"> </w:t>
      </w:r>
      <w:r>
        <w:rPr>
          <w:iCs/>
          <w:i/>
        </w:rPr>
        <w:t xml:space="preserve">Psychometrika, 16</w:t>
      </w:r>
      <w:r>
        <w:t xml:space="preserve">(3), 297–334. https://doi.org/10.1007/BF02310555</w:t>
      </w:r>
    </w:p>
    <w:p>
      <w:pPr>
        <w:pStyle w:val="BodyText"/>
      </w:pPr>
      <w:r>
        <w:t xml:space="preserve">Cusolito, A. P., &amp; Maloney, W. F. (2018).</w:t>
      </w:r>
      <w:r>
        <w:t xml:space="preserve"> </w:t>
      </w:r>
      <w:r>
        <w:rPr>
          <w:iCs/>
          <w:i/>
        </w:rPr>
        <w:t xml:space="preserve">Productivity revisited: Shifting paradigms in analysis and policy</w:t>
      </w:r>
      <w:r>
        <w:t xml:space="preserve">. World Bank. https://doi.org/10.1596/978-1-4648-1334-4</w:t>
      </w:r>
    </w:p>
    <w:p>
      <w:pPr>
        <w:pStyle w:val="BodyText"/>
      </w:pPr>
      <w:r>
        <w:t xml:space="preserve">Đỗ, T. H., &amp; Phan, A. T. (2026a).</w:t>
      </w:r>
      <w:r>
        <w:t xml:space="preserve"> </w:t>
      </w:r>
      <w:r>
        <w:rPr>
          <w:iCs/>
          <w:i/>
        </w:rPr>
        <w:t xml:space="preserve">Revisiting the internationalisation–performance relationship in an emerging market: The roles of technological capability and foundational digital adoption</w:t>
      </w:r>
      <w:r>
        <w:t xml:space="preserve"> </w:t>
      </w:r>
      <w:r>
        <w:t xml:space="preserve">[Bản thảo chưa nộp].</w:t>
      </w:r>
      <w:r>
        <w:t xml:space="preserve"> </w:t>
      </w:r>
      <w:r>
        <w:rPr>
          <w:iCs/>
          <w:i/>
        </w:rPr>
        <w:t xml:space="preserve">Journal of Economics and Development</w:t>
      </w:r>
      <w:r>
        <w:t xml:space="preserve">. [P3, Việt Nam]</w:t>
      </w:r>
    </w:p>
    <w:p>
      <w:pPr>
        <w:pStyle w:val="BodyText"/>
      </w:pPr>
      <w:r>
        <w:t xml:space="preserve">Đỗ, T. H., &amp; Phan, A. T. (2026b).</w:t>
      </w:r>
      <w:r>
        <w:t xml:space="preserve"> </w:t>
      </w:r>
      <w:r>
        <w:rPr>
          <w:iCs/>
          <w:i/>
        </w:rPr>
        <w:t xml:space="preserve">Technological capability, digital adoption, and internationalization performance in China: Evidence from two WBES waves</w:t>
      </w:r>
      <w:r>
        <w:t xml:space="preserve"> </w:t>
      </w:r>
      <w:r>
        <w:t xml:space="preserve">[Bản thảo chưa nộp].</w:t>
      </w:r>
      <w:r>
        <w:t xml:space="preserve"> </w:t>
      </w:r>
      <w:r>
        <w:rPr>
          <w:iCs/>
          <w:i/>
        </w:rPr>
        <w:t xml:space="preserve">International Journal of Emerging Markets</w:t>
      </w:r>
      <w:r>
        <w:t xml:space="preserve">. [P5, Trung Quốc]</w:t>
      </w:r>
    </w:p>
    <w:p>
      <w:pPr>
        <w:pStyle w:val="BodyText"/>
      </w:pPr>
      <w:r>
        <w:t xml:space="preserve">Đỗ, T. H., &amp; Phan, A. T. (2026c). Unveiling the impact of Chinese manufacturing SMEs’ internationalization on performance.</w:t>
      </w:r>
      <w:r>
        <w:t xml:space="preserve"> </w:t>
      </w:r>
      <w:r>
        <w:rPr>
          <w:iCs/>
          <w:i/>
        </w:rPr>
        <w:t xml:space="preserve">Journal of Finance and Accounting Research</w:t>
      </w:r>
      <w:r>
        <w:t xml:space="preserve">. Advance online publication. [P2, Trung Quốc SMEs, đã công bố]</w:t>
      </w:r>
    </w:p>
    <w:p>
      <w:pPr>
        <w:pStyle w:val="BodyText"/>
      </w:pPr>
      <w:r>
        <w:t xml:space="preserve">Dubin, R. (1978).</w:t>
      </w:r>
      <w:r>
        <w:t xml:space="preserve"> </w:t>
      </w:r>
      <w:r>
        <w:rPr>
          <w:iCs/>
          <w:i/>
        </w:rPr>
        <w:t xml:space="preserve">Theory building</w:t>
      </w:r>
      <w:r>
        <w:t xml:space="preserve"> </w:t>
      </w:r>
      <w:r>
        <w:t xml:space="preserve">(Rev. ed.). Free Press.</w:t>
      </w:r>
    </w:p>
    <w:p>
      <w:pPr>
        <w:pStyle w:val="BodyText"/>
      </w:pPr>
      <w:r>
        <w:t xml:space="preserve">Dunning, J. H. (1988). The eclectic paradigm of international production: A restatement and some possible extensions.</w:t>
      </w:r>
      <w:r>
        <w:t xml:space="preserve"> </w:t>
      </w:r>
      <w:r>
        <w:rPr>
          <w:iCs/>
          <w:i/>
        </w:rPr>
        <w:t xml:space="preserve">Journal of International Business Studies, 19</w:t>
      </w:r>
      <w:r>
        <w:t xml:space="preserve">(1), 1–31. https://doi.org/10.1057/palgrave.jibs.8490372</w:t>
      </w:r>
    </w:p>
    <w:p>
      <w:pPr>
        <w:pStyle w:val="BodyText"/>
      </w:pPr>
      <w:r>
        <w:t xml:space="preserve">Geringer, J. M., Beamish, P. W., &amp; daCosta, R. C. (1989). Diversification strategy and internationalization: Implications for MNE performance.</w:t>
      </w:r>
      <w:r>
        <w:t xml:space="preserve"> </w:t>
      </w:r>
      <w:r>
        <w:rPr>
          <w:iCs/>
          <w:i/>
        </w:rPr>
        <w:t xml:space="preserve">Strategic Management Journal, 10</w:t>
      </w:r>
      <w:r>
        <w:t xml:space="preserve">(2), 109–119.</w:t>
      </w:r>
    </w:p>
    <w:p>
      <w:pPr>
        <w:pStyle w:val="BodyText"/>
      </w:pPr>
      <w:r>
        <w:t xml:space="preserve">Glaum, M., &amp; Oesterle, M.-J. (2007). 40 years of research on internationalization and firm performance: More questions than answers?</w:t>
      </w:r>
      <w:r>
        <w:t xml:space="preserve"> </w:t>
      </w:r>
      <w:r>
        <w:rPr>
          <w:iCs/>
          <w:i/>
        </w:rPr>
        <w:t xml:space="preserve">Management International Review, 47</w:t>
      </w:r>
      <w:r>
        <w:t xml:space="preserve">(3), 307–317.</w:t>
      </w:r>
    </w:p>
    <w:p>
      <w:pPr>
        <w:pStyle w:val="BodyText"/>
      </w:pPr>
      <w:r>
        <w:t xml:space="preserve">Gomes, L., &amp; Ramaswamy, K. (1999). An empirical examination of the form of the relationship between multinationality and performance.</w:t>
      </w:r>
      <w:r>
        <w:t xml:space="preserve"> </w:t>
      </w:r>
      <w:r>
        <w:rPr>
          <w:iCs/>
          <w:i/>
        </w:rPr>
        <w:t xml:space="preserve">Journal of International Business Studies, 30</w:t>
      </w:r>
      <w:r>
        <w:t xml:space="preserve">(1), 173–187. https://doi.org/10.1057/palgrave.jibs.8490065</w:t>
      </w:r>
    </w:p>
    <w:p>
      <w:pPr>
        <w:pStyle w:val="BodyText"/>
      </w:pPr>
      <w:r>
        <w:t xml:space="preserve">Greene, W. H. (2018).</w:t>
      </w:r>
      <w:r>
        <w:t xml:space="preserve"> </w:t>
      </w:r>
      <w:r>
        <w:rPr>
          <w:iCs/>
          <w:i/>
        </w:rPr>
        <w:t xml:space="preserve">Econometric analysis</w:t>
      </w:r>
      <w:r>
        <w:t xml:space="preserve"> </w:t>
      </w:r>
      <w:r>
        <w:t xml:space="preserve">(8th ed.). Pearson.</w:t>
      </w:r>
    </w:p>
    <w:p>
      <w:pPr>
        <w:pStyle w:val="BodyText"/>
      </w:pPr>
      <w:r>
        <w:t xml:space="preserve">Hambrick, D. C. (2007). Upper echelons theory: An update.</w:t>
      </w:r>
      <w:r>
        <w:t xml:space="preserve"> </w:t>
      </w:r>
      <w:r>
        <w:rPr>
          <w:iCs/>
          <w:i/>
        </w:rPr>
        <w:t xml:space="preserve">Academy of Management Review, 32</w:t>
      </w:r>
      <w:r>
        <w:t xml:space="preserve">(2), 334–343. https://doi.org/10.5465/amr.2007.24345254</w:t>
      </w:r>
    </w:p>
    <w:p>
      <w:pPr>
        <w:pStyle w:val="BodyText"/>
      </w:pPr>
      <w:r>
        <w:t xml:space="preserve">Hambrick, D. C., &amp; Mason, P. A. (1984). Upper echelons: The organization as a reflection of its top managers.</w:t>
      </w:r>
      <w:r>
        <w:t xml:space="preserve"> </w:t>
      </w:r>
      <w:r>
        <w:rPr>
          <w:iCs/>
          <w:i/>
        </w:rPr>
        <w:t xml:space="preserve">Academy of Management Review, 9</w:t>
      </w:r>
      <w:r>
        <w:t xml:space="preserve">(2), 193–206. https://doi.org/10.5465/amr.1984.4277628</w:t>
      </w:r>
    </w:p>
    <w:p>
      <w:pPr>
        <w:pStyle w:val="BodyText"/>
      </w:pPr>
      <w:r>
        <w:t xml:space="preserve">Hessels, J., &amp; Terjesen, S. (2010). Resource dependency and institutional theory perspectives on direct and indirect export choices.</w:t>
      </w:r>
      <w:r>
        <w:t xml:space="preserve"> </w:t>
      </w:r>
      <w:r>
        <w:rPr>
          <w:iCs/>
          <w:i/>
        </w:rPr>
        <w:t xml:space="preserve">Small Business Economics, 34</w:t>
      </w:r>
      <w:r>
        <w:t xml:space="preserve">(2), 203–220. https://doi.org/10.1007/s11187-008-9156-4</w:t>
      </w:r>
    </w:p>
    <w:p>
      <w:pPr>
        <w:pStyle w:val="BodyText"/>
      </w:pPr>
      <w:r>
        <w:t xml:space="preserve">Hitt, M. A., Hoskisson, R. E., &amp; Kim, H. (1997). International diversification: Effects on innovation and firm performance in product-diversified firms.</w:t>
      </w:r>
      <w:r>
        <w:t xml:space="preserve"> </w:t>
      </w:r>
      <w:r>
        <w:rPr>
          <w:iCs/>
          <w:i/>
        </w:rPr>
        <w:t xml:space="preserve">Academy of Management Journal, 40</w:t>
      </w:r>
      <w:r>
        <w:t xml:space="preserve">(4), 767–798. https://doi.org/10.2307/256948</w:t>
      </w:r>
    </w:p>
    <w:p>
      <w:pPr>
        <w:pStyle w:val="BodyText"/>
      </w:pPr>
      <w:r>
        <w:t xml:space="preserve">Hsu, C.-C., &amp; Boggs, D. J. (2003). Internationalization and performance: Traditional measures and their decomposition.</w:t>
      </w:r>
      <w:r>
        <w:t xml:space="preserve"> </w:t>
      </w:r>
      <w:r>
        <w:rPr>
          <w:iCs/>
          <w:i/>
        </w:rPr>
        <w:t xml:space="preserve">Multinational Business Review, 11</w:t>
      </w:r>
      <w:r>
        <w:t xml:space="preserve">(3), 23–50.</w:t>
      </w:r>
    </w:p>
    <w:p>
      <w:pPr>
        <w:pStyle w:val="BodyText"/>
      </w:pPr>
      <w:r>
        <w:t xml:space="preserve">Hymer, S. H. (1976).</w:t>
      </w:r>
      <w:r>
        <w:t xml:space="preserve"> </w:t>
      </w:r>
      <w:r>
        <w:rPr>
          <w:iCs/>
          <w:i/>
        </w:rPr>
        <w:t xml:space="preserve">The international operations of national firms: A study of direct foreign investment</w:t>
      </w:r>
      <w:r>
        <w:t xml:space="preserve">. MIT Press.</w:t>
      </w:r>
    </w:p>
    <w:p>
      <w:pPr>
        <w:pStyle w:val="BodyText"/>
      </w:pPr>
      <w:r>
        <w:t xml:space="preserve">Johanson, J., &amp; Vahlne, J.-E. (1977). The internationalization process of the firm: A model of knowledge development and increasing foreign market commitments.</w:t>
      </w:r>
      <w:r>
        <w:t xml:space="preserve"> </w:t>
      </w:r>
      <w:r>
        <w:rPr>
          <w:iCs/>
          <w:i/>
        </w:rPr>
        <w:t xml:space="preserve">Journal of International Business Studies, 8</w:t>
      </w:r>
      <w:r>
        <w:t xml:space="preserve">(1), 23–32. https://doi.org/10.1057/palgrave.jibs.8490676</w:t>
      </w:r>
    </w:p>
    <w:p>
      <w:pPr>
        <w:pStyle w:val="BodyText"/>
      </w:pPr>
      <w:r>
        <w:t xml:space="preserve">Johanson, J., &amp; Vahlne, J.-E. (2009). The Uppsala internationalization process model revisited: From liability of foreignness to liability of outsidership.</w:t>
      </w:r>
      <w:r>
        <w:t xml:space="preserve"> </w:t>
      </w:r>
      <w:r>
        <w:rPr>
          <w:iCs/>
          <w:i/>
        </w:rPr>
        <w:t xml:space="preserve">Journal of International Business Studies, 40</w:t>
      </w:r>
      <w:r>
        <w:t xml:space="preserve">(9), 1411–1431. https://doi.org/10.1057/jibs.2009.24</w:t>
      </w:r>
    </w:p>
    <w:p>
      <w:pPr>
        <w:pStyle w:val="BodyText"/>
      </w:pPr>
      <w:r>
        <w:t xml:space="preserve">Kafouros, M., Aliyev, M., &amp; Krammer, S. (2023). Do firms benefit from country-level institutional reforms? The role of internal firm resources and capabilities.</w:t>
      </w:r>
      <w:r>
        <w:t xml:space="preserve"> </w:t>
      </w:r>
      <w:r>
        <w:rPr>
          <w:iCs/>
          <w:i/>
        </w:rPr>
        <w:t xml:space="preserve">Global Strategy Journal, 13</w:t>
      </w:r>
      <w:r>
        <w:t xml:space="preserve">(1), 70–100. https://doi.org/10.1002/gsj.1433</w:t>
      </w:r>
    </w:p>
    <w:p>
      <w:pPr>
        <w:pStyle w:val="BodyText"/>
      </w:pPr>
      <w:r>
        <w:t xml:space="preserve">Khanna, T., &amp; Palepu, K. G. (2010).</w:t>
      </w:r>
      <w:r>
        <w:t xml:space="preserve"> </w:t>
      </w:r>
      <w:r>
        <w:rPr>
          <w:iCs/>
          <w:i/>
        </w:rPr>
        <w:t xml:space="preserve">Winning in emerging markets: A road map for strategy and execution</w:t>
      </w:r>
      <w:r>
        <w:t xml:space="preserve">. Harvard Business Press.</w:t>
      </w:r>
    </w:p>
    <w:p>
      <w:pPr>
        <w:pStyle w:val="BodyText"/>
      </w:pPr>
      <w:r>
        <w:t xml:space="preserve">Kirca, A. H., Hult, G. T. M., Roth, K., Cavusgil, S. T., Perry, M. Z., Akdeniz, M. B., Deligonul, S. Z., Mena, J. A., Pollitte, W. A., Hoppner, J. J., Miller, J. C., &amp; White, R. C. (2012). Firm-specific assets, multinationality, and financial performance: A meta-analytic review and theoretical integration.</w:t>
      </w:r>
      <w:r>
        <w:t xml:space="preserve"> </w:t>
      </w:r>
      <w:r>
        <w:rPr>
          <w:iCs/>
          <w:i/>
        </w:rPr>
        <w:t xml:space="preserve">Academy of Management Journal, 55</w:t>
      </w:r>
      <w:r>
        <w:t xml:space="preserve">(1), 47–73. https://doi.org/10.5465/amj.2009.0703</w:t>
      </w:r>
    </w:p>
    <w:p>
      <w:pPr>
        <w:pStyle w:val="BodyText"/>
      </w:pPr>
      <w:r>
        <w:t xml:space="preserve">Knight, G. A., &amp; Cavusgil, S. T. (2004). Innovation, organizational capabilities, and the born-global firm.</w:t>
      </w:r>
      <w:r>
        <w:t xml:space="preserve"> </w:t>
      </w:r>
      <w:r>
        <w:rPr>
          <w:iCs/>
          <w:i/>
        </w:rPr>
        <w:t xml:space="preserve">Journal of International Business Studies, 35</w:t>
      </w:r>
      <w:r>
        <w:t xml:space="preserve">(2), 124–141.</w:t>
      </w:r>
    </w:p>
    <w:p>
      <w:pPr>
        <w:pStyle w:val="BodyText"/>
      </w:pPr>
      <w:r>
        <w:t xml:space="preserve">Lall, S. (1992). Technological capabilities and industrialization.</w:t>
      </w:r>
      <w:r>
        <w:t xml:space="preserve"> </w:t>
      </w:r>
      <w:r>
        <w:rPr>
          <w:iCs/>
          <w:i/>
        </w:rPr>
        <w:t xml:space="preserve">World Development, 20</w:t>
      </w:r>
      <w:r>
        <w:t xml:space="preserve">(2), 165–186. https://doi.org/10.1016/0305-750X(92)90097-F</w:t>
      </w:r>
    </w:p>
    <w:p>
      <w:pPr>
        <w:pStyle w:val="BodyText"/>
      </w:pPr>
      <w:r>
        <w:t xml:space="preserve">Li, J., Chen, L., Yi, J., Mao, J., &amp; Liao, J. (2022). Ecosystem-specific advantages in international digital commerce.</w:t>
      </w:r>
      <w:r>
        <w:t xml:space="preserve"> </w:t>
      </w:r>
      <w:r>
        <w:rPr>
          <w:iCs/>
          <w:i/>
        </w:rPr>
        <w:t xml:space="preserve">Journal of International Business Studies, 53</w:t>
      </w:r>
      <w:r>
        <w:t xml:space="preserve">(4), 677–695.</w:t>
      </w:r>
    </w:p>
    <w:p>
      <w:pPr>
        <w:pStyle w:val="BodyText"/>
      </w:pPr>
      <w:r>
        <w:t xml:space="preserve">Lind, J. T., &amp; Mehlum, H. (2010). With or without U? The appropriate test for a U-shaped relationship.</w:t>
      </w:r>
      <w:r>
        <w:t xml:space="preserve"> </w:t>
      </w:r>
      <w:r>
        <w:rPr>
          <w:iCs/>
          <w:i/>
        </w:rPr>
        <w:t xml:space="preserve">Oxford Bulletin of Economics and Statistics, 72</w:t>
      </w:r>
      <w:r>
        <w:t xml:space="preserve">(1), 109–118. https://doi.org/10.1111/j.1468-0084.2009.00569.x</w:t>
      </w:r>
    </w:p>
    <w:p>
      <w:pPr>
        <w:pStyle w:val="BodyText"/>
      </w:pPr>
      <w:r>
        <w:t xml:space="preserve">Long, J. S., &amp; Ervin, L. H. (2000). Using heteroscedasticity consistent standard errors in the linear regression model.</w:t>
      </w:r>
      <w:r>
        <w:t xml:space="preserve"> </w:t>
      </w:r>
      <w:r>
        <w:rPr>
          <w:iCs/>
          <w:i/>
        </w:rPr>
        <w:t xml:space="preserve">The American Statistician, 54</w:t>
      </w:r>
      <w:r>
        <w:t xml:space="preserve">(3), 217–224. https://doi.org/10.1080/00031305.2000.10474549</w:t>
      </w:r>
    </w:p>
    <w:p>
      <w:pPr>
        <w:pStyle w:val="BodyText"/>
      </w:pPr>
      <w:r>
        <w:t xml:space="preserve">Lu, J. W., &amp; Beamish, P. W. (2001). The internationalization and performance of SMEs.</w:t>
      </w:r>
      <w:r>
        <w:t xml:space="preserve"> </w:t>
      </w:r>
      <w:r>
        <w:rPr>
          <w:iCs/>
          <w:i/>
        </w:rPr>
        <w:t xml:space="preserve">Strategic Management Journal, 22</w:t>
      </w:r>
      <w:r>
        <w:t xml:space="preserve">(6–7), 565–586. https://doi.org/10.1002/smj.184</w:t>
      </w:r>
    </w:p>
    <w:p>
      <w:pPr>
        <w:pStyle w:val="BodyText"/>
      </w:pPr>
      <w:r>
        <w:t xml:space="preserve">Lu, J. W., &amp; Beamish, P. W. (2004). International diversification and firm performance: The S-curve hypothesis.</w:t>
      </w:r>
      <w:r>
        <w:t xml:space="preserve"> </w:t>
      </w:r>
      <w:r>
        <w:rPr>
          <w:iCs/>
          <w:i/>
        </w:rPr>
        <w:t xml:space="preserve">Academy of Management Journal, 47</w:t>
      </w:r>
      <w:r>
        <w:t xml:space="preserve">(4), 598–609. https://doi.org/10.2307/20159604</w:t>
      </w:r>
    </w:p>
    <w:p>
      <w:pPr>
        <w:pStyle w:val="BodyText"/>
      </w:pPr>
      <w:r>
        <w:t xml:space="preserve">Luo, Y., &amp; Tung, R. L. (2007). International expansion of emerging market enterprises: A springboard perspective.</w:t>
      </w:r>
      <w:r>
        <w:t xml:space="preserve"> </w:t>
      </w:r>
      <w:r>
        <w:rPr>
          <w:iCs/>
          <w:i/>
        </w:rPr>
        <w:t xml:space="preserve">Journal of International Business Studies, 38</w:t>
      </w:r>
      <w:r>
        <w:t xml:space="preserve">(4), 481–498.</w:t>
      </w:r>
    </w:p>
    <w:p>
      <w:pPr>
        <w:pStyle w:val="BodyText"/>
      </w:pPr>
      <w:r>
        <w:t xml:space="preserve">Mar, T. T., Đỗ, T. H., &amp; Phan, A. T. (2026).</w:t>
      </w:r>
      <w:r>
        <w:t xml:space="preserve"> </w:t>
      </w:r>
      <w:r>
        <w:rPr>
          <w:iCs/>
          <w:i/>
        </w:rPr>
        <w:t xml:space="preserve">Technological capability, digital adoption, and the internationalization–performance relationship: A firm-level study of Singapore</w:t>
      </w:r>
      <w:r>
        <w:t xml:space="preserve"> </w:t>
      </w:r>
      <w:r>
        <w:t xml:space="preserve">[Bản thảo chưa nộp].</w:t>
      </w:r>
      <w:r>
        <w:t xml:space="preserve"> </w:t>
      </w:r>
      <w:r>
        <w:rPr>
          <w:iCs/>
          <w:i/>
        </w:rPr>
        <w:t xml:space="preserve">Management International Review</w:t>
      </w:r>
      <w:r>
        <w:t xml:space="preserve">. [P4, Singapore]</w:t>
      </w:r>
    </w:p>
    <w:p>
      <w:pPr>
        <w:pStyle w:val="BodyText"/>
      </w:pPr>
      <w:r>
        <w:t xml:space="preserve">Marano, V., Arregle, J.-L., Hitt, M. A., Spadafora, E., &amp; van Essen, M. (2016). Home country institutions and the internationalization-performance relationship: A meta-analytic review.</w:t>
      </w:r>
      <w:r>
        <w:t xml:space="preserve"> </w:t>
      </w:r>
      <w:r>
        <w:rPr>
          <w:iCs/>
          <w:i/>
        </w:rPr>
        <w:t xml:space="preserve">Journal of Management, 42</w:t>
      </w:r>
      <w:r>
        <w:t xml:space="preserve">(5), 1075–1110. https://doi.org/10.1177/0149206315624963</w:t>
      </w:r>
    </w:p>
    <w:p>
      <w:pPr>
        <w:pStyle w:val="BodyText"/>
      </w:pPr>
      <w:r>
        <w:t xml:space="preserve">Mathews, J. A. (2002).</w:t>
      </w:r>
      <w:r>
        <w:t xml:space="preserve"> </w:t>
      </w:r>
      <w:r>
        <w:rPr>
          <w:iCs/>
          <w:i/>
        </w:rPr>
        <w:t xml:space="preserve">Dragon multinationals: Towards a new model of global growth</w:t>
      </w:r>
      <w:r>
        <w:t xml:space="preserve">. Oxford University Press.</w:t>
      </w:r>
    </w:p>
    <w:p>
      <w:pPr>
        <w:pStyle w:val="BodyText"/>
      </w:pPr>
      <w:r>
        <w:t xml:space="preserve">Melitz, M. J. (2003). The impact of trade on intra-industry reallocations and aggregate industry productivity.</w:t>
      </w:r>
      <w:r>
        <w:t xml:space="preserve"> </w:t>
      </w:r>
      <w:r>
        <w:rPr>
          <w:iCs/>
          <w:i/>
        </w:rPr>
        <w:t xml:space="preserve">Econometrica, 71</w:t>
      </w:r>
      <w:r>
        <w:t xml:space="preserve">(6), 1695–1725.</w:t>
      </w:r>
    </w:p>
    <w:p>
      <w:pPr>
        <w:pStyle w:val="BodyText"/>
      </w:pPr>
      <w:r>
        <w:t xml:space="preserve">Meyer, K. E., Mudambi, R., &amp; Narula, R. (2017). Multinational enterprises and local contexts: The opportunities and challenges of multiple embeddedness.</w:t>
      </w:r>
      <w:r>
        <w:t xml:space="preserve"> </w:t>
      </w:r>
      <w:r>
        <w:rPr>
          <w:iCs/>
          <w:i/>
        </w:rPr>
        <w:t xml:space="preserve">Journal of Management Studies, 48</w:t>
      </w:r>
      <w:r>
        <w:t xml:space="preserve">(2), 235–252.</w:t>
      </w:r>
    </w:p>
    <w:p>
      <w:pPr>
        <w:pStyle w:val="BodyText"/>
      </w:pPr>
      <w:r>
        <w:t xml:space="preserve">Nielsen, B. B., &amp; Nielsen, S. (2011). The role of top management team international orientation in international strategic decision-making: The choice of foreign entry mode.</w:t>
      </w:r>
      <w:r>
        <w:t xml:space="preserve"> </w:t>
      </w:r>
      <w:r>
        <w:rPr>
          <w:iCs/>
          <w:i/>
        </w:rPr>
        <w:t xml:space="preserve">Journal of World Business, 46</w:t>
      </w:r>
      <w:r>
        <w:t xml:space="preserve">(2), 185–193. https://doi.org/10.1016/j.jwb.2010.05.003</w:t>
      </w:r>
    </w:p>
    <w:p>
      <w:pPr>
        <w:pStyle w:val="BodyText"/>
      </w:pPr>
      <w:r>
        <w:t xml:space="preserve">North, D. C. (1990).</w:t>
      </w:r>
      <w:r>
        <w:t xml:space="preserve"> </w:t>
      </w:r>
      <w:r>
        <w:rPr>
          <w:iCs/>
          <w:i/>
        </w:rPr>
        <w:t xml:space="preserve">Institutions, institutional change and economic performance</w:t>
      </w:r>
      <w:r>
        <w:t xml:space="preserve">. Cambridge University Press. https://doi.org/10.1017/CBO9780511808678</w:t>
      </w:r>
    </w:p>
    <w:p>
      <w:pPr>
        <w:pStyle w:val="BodyText"/>
      </w:pPr>
      <w:r>
        <w:t xml:space="preserve">Paternoster, R., Brame, R., Mazerolle, P., &amp; Piquero, A. (1998). Using the correct statistical test for the equality of regression coefficients.</w:t>
      </w:r>
      <w:r>
        <w:t xml:space="preserve"> </w:t>
      </w:r>
      <w:r>
        <w:rPr>
          <w:iCs/>
          <w:i/>
        </w:rPr>
        <w:t xml:space="preserve">Criminology, 36</w:t>
      </w:r>
      <w:r>
        <w:t xml:space="preserve">(4), 859–866. https://doi.org/10.1111/j.1745-9125.1998.tb01268.x</w:t>
      </w:r>
    </w:p>
    <w:p>
      <w:pPr>
        <w:pStyle w:val="BodyText"/>
      </w:pPr>
      <w:r>
        <w:t xml:space="preserve">Peng, M. W. (2003). Institutional transitions and strategic choices.</w:t>
      </w:r>
      <w:r>
        <w:t xml:space="preserve"> </w:t>
      </w:r>
      <w:r>
        <w:rPr>
          <w:iCs/>
          <w:i/>
        </w:rPr>
        <w:t xml:space="preserve">Academy of Management Review, 28</w:t>
      </w:r>
      <w:r>
        <w:t xml:space="preserve">(2), 275–296. https://doi.org/10.5465/amr.2003.9416341</w:t>
      </w:r>
    </w:p>
    <w:p>
      <w:pPr>
        <w:pStyle w:val="BodyText"/>
      </w:pPr>
      <w:r>
        <w:t xml:space="preserve">Peng, M. W., &amp; Ilinitch, A. Y. (1998). Export intermediary firms: A note on export development research.</w:t>
      </w:r>
      <w:r>
        <w:t xml:space="preserve"> </w:t>
      </w:r>
      <w:r>
        <w:rPr>
          <w:iCs/>
          <w:i/>
        </w:rPr>
        <w:t xml:space="preserve">Journal of International Business Studies, 29</w:t>
      </w:r>
      <w:r>
        <w:t xml:space="preserve">(3), 609–620. https://doi.org/10.1057/palgrave.jibs.8490011</w:t>
      </w:r>
    </w:p>
    <w:p>
      <w:pPr>
        <w:pStyle w:val="BodyText"/>
      </w:pPr>
      <w:r>
        <w:t xml:space="preserve">Peng, M. W., Wang, D. Y. L., &amp; Jiang, Y. (2008). An institution-based view of international business strategy: A focus on emerging economies.</w:t>
      </w:r>
      <w:r>
        <w:t xml:space="preserve"> </w:t>
      </w:r>
      <w:r>
        <w:rPr>
          <w:iCs/>
          <w:i/>
        </w:rPr>
        <w:t xml:space="preserve">Journal of International Business Studies, 39</w:t>
      </w:r>
      <w:r>
        <w:t xml:space="preserve">(5), 920–936. https://doi.org/10.1057/palgrave.jibs.8400377</w:t>
      </w:r>
    </w:p>
    <w:p>
      <w:pPr>
        <w:pStyle w:val="BodyText"/>
      </w:pPr>
      <w:r>
        <w:t xml:space="preserve">Pisani, N., Garcia-Bernardo, J., &amp; Heemskerk, E. (2020). Does it pay to be a multinational? A large-sample, cross-national replication assessing the multinationality–performance relationship.</w:t>
      </w:r>
      <w:r>
        <w:t xml:space="preserve"> </w:t>
      </w:r>
      <w:r>
        <w:rPr>
          <w:iCs/>
          <w:i/>
        </w:rPr>
        <w:t xml:space="preserve">Strategic Management Journal, 41</w:t>
      </w:r>
      <w:r>
        <w:t xml:space="preserve">(1), 152–172. https://doi.org/10.1002/smj.3087</w:t>
      </w:r>
    </w:p>
    <w:p>
      <w:pPr>
        <w:pStyle w:val="BodyText"/>
      </w:pPr>
      <w:r>
        <w:t xml:space="preserve">Riahi-Belkaoui, A. (1998). The effects of the degree of internationalization on firm performance.</w:t>
      </w:r>
      <w:r>
        <w:t xml:space="preserve"> </w:t>
      </w:r>
      <w:r>
        <w:rPr>
          <w:iCs/>
          <w:i/>
        </w:rPr>
        <w:t xml:space="preserve">International Business Review, 7</w:t>
      </w:r>
      <w:r>
        <w:t xml:space="preserve">(3), 315–321.</w:t>
      </w:r>
    </w:p>
    <w:p>
      <w:pPr>
        <w:pStyle w:val="BodyText"/>
      </w:pPr>
      <w:r>
        <w:t xml:space="preserve">Richard, P. J., Devinney, T. M., Yip, G. S., &amp; Johnson, G. (2009). Measuring organizational performance: Towards methodological best practice.</w:t>
      </w:r>
      <w:r>
        <w:t xml:space="preserve"> </w:t>
      </w:r>
      <w:r>
        <w:rPr>
          <w:iCs/>
          <w:i/>
        </w:rPr>
        <w:t xml:space="preserve">Journal of Management, 35</w:t>
      </w:r>
      <w:r>
        <w:t xml:space="preserve">(3), 718–804. https://doi.org/10.1177/0149206308330560</w:t>
      </w:r>
    </w:p>
    <w:p>
      <w:pPr>
        <w:pStyle w:val="BodyText"/>
      </w:pPr>
      <w:r>
        <w:t xml:space="preserve">Ruigrok, W., &amp; Wagner, H. (2003). Internationalization and performance: An organizational learning perspective.</w:t>
      </w:r>
      <w:r>
        <w:t xml:space="preserve"> </w:t>
      </w:r>
      <w:r>
        <w:rPr>
          <w:iCs/>
          <w:i/>
        </w:rPr>
        <w:t xml:space="preserve">Management International Review, 43</w:t>
      </w:r>
      <w:r>
        <w:t xml:space="preserve">(1), 63–83.</w:t>
      </w:r>
    </w:p>
    <w:p>
      <w:pPr>
        <w:pStyle w:val="BodyText"/>
      </w:pPr>
      <w:r>
        <w:t xml:space="preserve">Schwens, C., Zapkau, F. B., Brouthers, K. D., &amp; Hollender, L. (2018). Limits to outside-in open innovation in SMEs: When it helps and when it does not help with international performance.</w:t>
      </w:r>
      <w:r>
        <w:t xml:space="preserve"> </w:t>
      </w:r>
      <w:r>
        <w:rPr>
          <w:iCs/>
          <w:i/>
        </w:rPr>
        <w:t xml:space="preserve">Journal of World Business, 53</w:t>
      </w:r>
      <w:r>
        <w:t xml:space="preserve">(2), 168–177.</w:t>
      </w:r>
    </w:p>
    <w:p>
      <w:pPr>
        <w:pStyle w:val="BodyText"/>
      </w:pPr>
      <w:r>
        <w:t xml:space="preserve">Solon, G., Haider, S. J., &amp; Wooldridge, J. M. (2015). What are we weighting for?</w:t>
      </w:r>
      <w:r>
        <w:t xml:space="preserve"> </w:t>
      </w:r>
      <w:r>
        <w:rPr>
          <w:iCs/>
          <w:i/>
        </w:rPr>
        <w:t xml:space="preserve">Journal of Human Resources, 50</w:t>
      </w:r>
      <w:r>
        <w:t xml:space="preserve">(2), 301–316. https://doi.org/10.3368/jhr.50.2.301</w:t>
      </w:r>
    </w:p>
    <w:p>
      <w:pPr>
        <w:pStyle w:val="BodyText"/>
      </w:pPr>
      <w:r>
        <w:t xml:space="preserve">Stallkamp, M., &amp; Schotter, A. P. J. (2021). Platforms without borders? The international strategies of digital platform firms.</w:t>
      </w:r>
      <w:r>
        <w:t xml:space="preserve"> </w:t>
      </w:r>
      <w:r>
        <w:rPr>
          <w:iCs/>
          <w:i/>
        </w:rPr>
        <w:t xml:space="preserve">Global Strategy Journal, 11</w:t>
      </w:r>
      <w:r>
        <w:t xml:space="preserve">(1), 58–80. https://doi.org/10.1002/gsj.1336</w:t>
      </w:r>
    </w:p>
    <w:p>
      <w:pPr>
        <w:pStyle w:val="BodyText"/>
      </w:pPr>
      <w:r>
        <w:t xml:space="preserve">Sullivan, D. (1994). Measuring the degree of internationalization of a firm.</w:t>
      </w:r>
      <w:r>
        <w:t xml:space="preserve"> </w:t>
      </w:r>
      <w:r>
        <w:rPr>
          <w:iCs/>
          <w:i/>
        </w:rPr>
        <w:t xml:space="preserve">Journal of International Business Studies, 25</w:t>
      </w:r>
      <w:r>
        <w:t xml:space="preserve">(2), 325–342. https://doi.org/10.1057/palgrave.jibs.8490203</w:t>
      </w:r>
    </w:p>
    <w:p>
      <w:pPr>
        <w:pStyle w:val="BodyText"/>
      </w:pPr>
      <w:r>
        <w:t xml:space="preserve">Sutton, A. J., &amp; Higgins, J. P. T. (2008). Recent developments in meta-analysis.</w:t>
      </w:r>
      <w:r>
        <w:t xml:space="preserve"> </w:t>
      </w:r>
      <w:r>
        <w:rPr>
          <w:iCs/>
          <w:i/>
        </w:rPr>
        <w:t xml:space="preserve">Statistics in Medicine, 27</w:t>
      </w:r>
      <w:r>
        <w:t xml:space="preserve">(5), 625–650. https://doi.org/10.1002/sim.2982</w:t>
      </w:r>
    </w:p>
    <w:p>
      <w:pPr>
        <w:pStyle w:val="BodyText"/>
      </w:pPr>
      <w:r>
        <w:t xml:space="preserve">Teece, D. J., Pisano, G., &amp; Shuen, A. (1997). Dynamic capabilities and strategic management.</w:t>
      </w:r>
      <w:r>
        <w:t xml:space="preserve"> </w:t>
      </w:r>
      <w:r>
        <w:rPr>
          <w:iCs/>
          <w:i/>
        </w:rPr>
        <w:t xml:space="preserve">Strategic Management Journal, 18</w:t>
      </w:r>
      <w:r>
        <w:t xml:space="preserve">(7), 509–533.</w:t>
      </w:r>
    </w:p>
    <w:p>
      <w:pPr>
        <w:pStyle w:val="BodyText"/>
      </w:pPr>
      <w:r>
        <w:t xml:space="preserve">Torraco, R. J. (2005). Writing integrative literature reviews: Guidelines and examples.</w:t>
      </w:r>
      <w:r>
        <w:t xml:space="preserve"> </w:t>
      </w:r>
      <w:r>
        <w:rPr>
          <w:iCs/>
          <w:i/>
        </w:rPr>
        <w:t xml:space="preserve">Human Resource Development Review, 4</w:t>
      </w:r>
      <w:r>
        <w:t xml:space="preserve">(3), 356–367.</w:t>
      </w:r>
    </w:p>
    <w:p>
      <w:pPr>
        <w:pStyle w:val="BodyText"/>
      </w:pPr>
      <w:r>
        <w:t xml:space="preserve">Verhoef, P. C., Broekhuizen, T., Bart, Y., Bhatt, A., Dong, J. Q., Fabian, N., &amp; Haenlein, M. (2021). Digital transformation: A multidisciplinary reflection and research agenda.</w:t>
      </w:r>
      <w:r>
        <w:t xml:space="preserve"> </w:t>
      </w:r>
      <w:r>
        <w:rPr>
          <w:iCs/>
          <w:i/>
        </w:rPr>
        <w:t xml:space="preserve">Journal of Business Research, 122</w:t>
      </w:r>
      <w:r>
        <w:t xml:space="preserve">, 889–901. https://doi.org/10.1016/j.jbusres.2019.09.022</w:t>
      </w:r>
    </w:p>
    <w:p>
      <w:pPr>
        <w:pStyle w:val="BodyText"/>
      </w:pPr>
      <w:r>
        <w:t xml:space="preserve">Vernon, R. (1966). International investment and international trade in the product cycle.</w:t>
      </w:r>
      <w:r>
        <w:t xml:space="preserve"> </w:t>
      </w:r>
      <w:r>
        <w:rPr>
          <w:iCs/>
          <w:i/>
        </w:rPr>
        <w:t xml:space="preserve">The Quarterly Journal of Economics, 80</w:t>
      </w:r>
      <w:r>
        <w:t xml:space="preserve">(2), 190–207.</w:t>
      </w:r>
    </w:p>
    <w:p>
      <w:pPr>
        <w:pStyle w:val="BodyText"/>
      </w:pPr>
      <w:r>
        <w:t xml:space="preserve">Wernerfelt, B. (1984). A resource-based view of the firm.</w:t>
      </w:r>
      <w:r>
        <w:t xml:space="preserve"> </w:t>
      </w:r>
      <w:r>
        <w:rPr>
          <w:iCs/>
          <w:i/>
        </w:rPr>
        <w:t xml:space="preserve">Strategic Management Journal, 5</w:t>
      </w:r>
      <w:r>
        <w:t xml:space="preserve">(2), 171–180. https://doi.org/10.1002/smj.4250050207</w:t>
      </w:r>
    </w:p>
    <w:p>
      <w:pPr>
        <w:pStyle w:val="BodyText"/>
      </w:pPr>
      <w:r>
        <w:t xml:space="preserve">Whetten, D. A. (1989). What constitutes a theoretical contribution?</w:t>
      </w:r>
      <w:r>
        <w:t xml:space="preserve"> </w:t>
      </w:r>
      <w:r>
        <w:rPr>
          <w:iCs/>
          <w:i/>
        </w:rPr>
        <w:t xml:space="preserve">Academy of Management Review, 14</w:t>
      </w:r>
      <w:r>
        <w:t xml:space="preserve">(4), 490–495. https://doi.org/10.5465/amr.1989.4308371</w:t>
      </w:r>
    </w:p>
    <w:p>
      <w:pPr>
        <w:pStyle w:val="BodyText"/>
      </w:pPr>
      <w:r>
        <w:t xml:space="preserve">Wolfolds, S. E., &amp; Siegel, J. (2019). Misaccounting for endogeneity: The peril of relying on the Heckman two-step method without a valid instrument.</w:t>
      </w:r>
      <w:r>
        <w:t xml:space="preserve"> </w:t>
      </w:r>
      <w:r>
        <w:rPr>
          <w:iCs/>
          <w:i/>
        </w:rPr>
        <w:t xml:space="preserve">Strategic Management Journal, 40</w:t>
      </w:r>
      <w:r>
        <w:t xml:space="preserve">(3), 432–462. https://doi.org/10.1002/smj.2995</w:t>
      </w:r>
    </w:p>
    <w:p>
      <w:pPr>
        <w:pStyle w:val="BodyText"/>
      </w:pPr>
      <w:r>
        <w:t xml:space="preserve">Wooldridge, J. M. (2010).</w:t>
      </w:r>
      <w:r>
        <w:t xml:space="preserve"> </w:t>
      </w:r>
      <w:r>
        <w:rPr>
          <w:iCs/>
          <w:i/>
        </w:rPr>
        <w:t xml:space="preserve">Econometric analysis of cross section and panel data</w:t>
      </w:r>
      <w:r>
        <w:t xml:space="preserve"> </w:t>
      </w:r>
      <w:r>
        <w:t xml:space="preserve">(2nd ed.). MIT Press.</w:t>
      </w:r>
    </w:p>
    <w:p>
      <w:pPr>
        <w:pStyle w:val="BodyText"/>
      </w:pPr>
      <w:r>
        <w:t xml:space="preserve">Wu, J., Fan, D., &amp; Chen, X. (2022). Revisiting the internationalization–performance relationship: A twenty-year meta-analysis of emerging market multinationals.</w:t>
      </w:r>
      <w:r>
        <w:t xml:space="preserve"> </w:t>
      </w:r>
      <w:r>
        <w:rPr>
          <w:iCs/>
          <w:i/>
        </w:rPr>
        <w:t xml:space="preserve">Management International Review, 62</w:t>
      </w:r>
      <w:r>
        <w:t xml:space="preserve">(2), 199–231. https://doi.org/10.1007/s11575-022-00462-x</w:t>
      </w:r>
    </w:p>
    <w:p>
      <w:pPr>
        <w:pStyle w:val="BodyText"/>
      </w:pPr>
      <w:r>
        <w:t xml:space="preserve">Xiao, S. S., Jeong, I., Moon, J. J., Chung, C. C., &amp; Chung, J. (2013). Internationalization and performance of firms in China.</w:t>
      </w:r>
      <w:r>
        <w:t xml:space="preserve"> </w:t>
      </w:r>
      <w:r>
        <w:rPr>
          <w:iCs/>
          <w:i/>
        </w:rPr>
        <w:t xml:space="preserve">Journal of International Management, 19</w:t>
      </w:r>
      <w:r>
        <w:t xml:space="preserve">(2), 118–137. https://doi.org/10.1016/j.intman.2013.01.003</w:t>
      </w:r>
    </w:p>
    <w:p>
      <w:pPr>
        <w:pStyle w:val="BodyText"/>
      </w:pPr>
      <w:r>
        <w:t xml:space="preserve">Xu, D. (2024). From de jure to de facto: Institutional distance and firm internationalization.</w:t>
      </w:r>
      <w:r>
        <w:t xml:space="preserve"> </w:t>
      </w:r>
      <w:r>
        <w:rPr>
          <w:iCs/>
          <w:i/>
        </w:rPr>
        <w:t xml:space="preserve">Global Strategy Journal, 14</w:t>
      </w:r>
      <w:r>
        <w:t xml:space="preserve">(1), 1–28.</w:t>
      </w:r>
    </w:p>
    <w:p>
      <w:pPr>
        <w:pStyle w:val="BodyText"/>
      </w:pPr>
      <w:r>
        <w:t xml:space="preserve">Yang, Z., Zhao, Y., &amp; Wei, Z. (2025). Digital capability as a moderator of internationalization–performance in emerging Asia: Evidence from WBES 2018–2023.</w:t>
      </w:r>
      <w:r>
        <w:t xml:space="preserve"> </w:t>
      </w:r>
      <w:r>
        <w:rPr>
          <w:iCs/>
          <w:i/>
        </w:rPr>
        <w:t xml:space="preserve">Asia Pacific Journal of Management</w:t>
      </w:r>
      <w:r>
        <w:t xml:space="preserve"> </w:t>
      </w:r>
      <w:r>
        <w:t xml:space="preserve">[sắp xuất bản].</w:t>
      </w:r>
    </w:p>
    <w:p>
      <w:r>
        <w:pict>
          <v:rect style="width:0;height:1.5pt" o:hralign="center" o:hrstd="t" o:hr="t"/>
        </w:pict>
      </w:r>
    </w:p>
    <w:bookmarkEnd w:id="91"/>
    <w:bookmarkStart w:id="96" w:name="phụ-lục"/>
    <w:p>
      <w:pPr>
        <w:pStyle w:val="Heading2"/>
      </w:pPr>
      <w:r>
        <w:t xml:space="preserve">PHỤ LỤC</w:t>
      </w:r>
    </w:p>
    <w:bookmarkStart w:id="92" w:name="X99c2132ff359a6f3a08cce74cdac275000718c2"/>
    <w:p>
      <w:pPr>
        <w:pStyle w:val="Heading3"/>
      </w:pPr>
      <w:r>
        <w:t xml:space="preserve">Phụ lục A: Danh sách 50 nền kinh tế theo nhóm ICRV</w:t>
      </w:r>
    </w:p>
    <w:p>
      <w:pPr>
        <w:pStyle w:val="FirstParagraph"/>
      </w:pPr>
      <w:r>
        <w:t xml:space="preserve">ICRV Nhóm I, Tiên tiến đổi mới sáng tạo dẫn dắt (6 nền kinh tế):</w:t>
      </w:r>
      <w:r>
        <w:t xml:space="preserve"> </w:t>
      </w:r>
      <w:r>
        <w:t xml:space="preserve">Singapore, Hong Kong SAR, Hàn Quốc, Đài Loan, Israel, Nhật Bản (đợt khảo sát WBES đầu tiên năm 2025).</w:t>
      </w:r>
    </w:p>
    <w:p>
      <w:pPr>
        <w:pStyle w:val="BodyText"/>
      </w:pPr>
      <w:r>
        <w:t xml:space="preserve">ICRV Nhóm II, Tiên tiến tài nguyên dẫn dắt (6 nền kinh tế):</w:t>
      </w:r>
      <w:r>
        <w:t xml:space="preserve"> </w:t>
      </w:r>
      <w:r>
        <w:t xml:space="preserve">Saudi Arabia, Qatar, Kuwait, Bahrain, Brunei, Oman.</w:t>
      </w:r>
    </w:p>
    <w:p>
      <w:pPr>
        <w:pStyle w:val="BodyText"/>
      </w:pPr>
      <w:r>
        <w:t xml:space="preserve">ICRV Nhóm III, Trung bình cao (6 nền kinh tế):</w:t>
      </w:r>
      <w:r>
        <w:t xml:space="preserve"> </w:t>
      </w:r>
      <w:r>
        <w:t xml:space="preserve">Trung Quốc, Malaysia, Thái Lan, Kazakhstan, Armenia, Georgia.</w:t>
      </w:r>
    </w:p>
    <w:p>
      <w:pPr>
        <w:pStyle w:val="BodyText"/>
      </w:pPr>
      <w:r>
        <w:t xml:space="preserve">ICRV Nhóm IV, Chuyển đổi thu nhập trung bình–thấp (7 nền kinh tế):</w:t>
      </w:r>
      <w:r>
        <w:t xml:space="preserve"> </w:t>
      </w:r>
      <w:r>
        <w:t xml:space="preserve">Việt Nam, Ấn Độ, Indonesia, Philippines, Mông Cổ, Bangladesh, Pakistan.</w:t>
      </w:r>
    </w:p>
    <w:p>
      <w:pPr>
        <w:pStyle w:val="BodyText"/>
      </w:pPr>
      <w:r>
        <w:t xml:space="preserve">ICRV Nhóm V, Đang nổi (17 nền kinh tế):</w:t>
      </w:r>
      <w:r>
        <w:t xml:space="preserve"> </w:t>
      </w:r>
      <w:r>
        <w:t xml:space="preserve">Sri Lanka, Jordan, Lào, Campuchia, Myanmar, Nepal, Bhutan, Maldives, Uzbekistan, Tajikistan, Kyrgyzstan, Turkmenistan, Afghanistan, Azerbaijan, Iraq, Lebanon, Yemen.</w:t>
      </w:r>
    </w:p>
    <w:p>
      <w:pPr>
        <w:pStyle w:val="BodyText"/>
      </w:pPr>
      <w:r>
        <w:t xml:space="preserve">ICRV Nhóm VI, SIDS, trường hợp biên (8 nền kinh tế):</w:t>
      </w:r>
      <w:r>
        <w:t xml:space="preserve"> </w:t>
      </w:r>
      <w:r>
        <w:t xml:space="preserve">Fiji, Kiribati, Papua New Guinea, Samoa, Solomon Islands, Tonga, Vanuatu, Timor-Leste.</w:t>
      </w:r>
      <w:r>
        <w:t xml:space="preserve"> </w:t>
      </w:r>
      <w:r>
        <w:rPr>
          <w:iCs/>
          <w:i/>
        </w:rPr>
        <w:t xml:space="preserve">(Ghi chú: mẫu chính của nghiên cứu chuyên sâu SIDS là 7 nền Thái Bình Dương; kiểm định độ vững mở rộng 9 nền, bổ sung Comoros.)</w:t>
      </w:r>
    </w:p>
    <w:p>
      <w:pPr>
        <w:pStyle w:val="BodyText"/>
      </w:pPr>
      <w:r>
        <w:t xml:space="preserve">Tổng: 6 + 6 + 6 + 7 + 17 + 8 = 50 nền kinh tế.</w:t>
      </w:r>
    </w:p>
    <w:bookmarkEnd w:id="92"/>
    <w:bookmarkStart w:id="93" w:name="phụ-lục-b-tóm-tắt-ba-bản-thảo-đồng-hành"/>
    <w:p>
      <w:pPr>
        <w:pStyle w:val="Heading3"/>
      </w:pPr>
      <w:r>
        <w:t xml:space="preserve">Phụ lục B: Tóm tắt ba bản thảo đồng hành</w:t>
      </w:r>
    </w:p>
    <w:p>
      <w:pPr>
        <w:pStyle w:val="FirstParagraph"/>
      </w:pPr>
      <w:r>
        <w:t xml:space="preserve">P3, Việt Nam (mục tiêu JED): Đỗ, T. H., &amp; Phan, A. T. (2026a). Phân tích 2.958 doanh nghiệp WBES ba sóng 2009/2015/2023. Kết quả chính: chữ U ngược xác nhận (Lind–Mehlum p &lt; 0,001 tổng hợp); điểm uốn 46,2% (2009), 39,3% (2015), 41,6% (2023), 39,7% (tổng hợp); TCI nhân quả (β = 1,639, F bậc một = 22,1); DAI phụ thuộc chọn lựa (β_IV = 0,018, F bậc một = 34,6); Paternoster z = 3,353 giữa điểm uốn 2009 và 2015 (p &lt; 0,001).</w:t>
      </w:r>
    </w:p>
    <w:p>
      <w:pPr>
        <w:pStyle w:val="BodyText"/>
      </w:pPr>
      <w:r>
        <w:t xml:space="preserve">P4, Singapore (mục tiêu MIR): Mar, T. T., Đỗ, T. H., &amp; Phan, A. T. (2026). Phân tích 623 doanh nghiệp WBES 2023. Kết quả chính: đường cong I–P chủ yếu dương; điểm uốn hàm ý ~88,6% (vùng thưa dữ liệu; Lind–Mehlum p = 0,303); DAI×FSTS² = +3,119 (p = 0,005), DAI là nguồn lực mở rộng tình huống; TCI β = 0,153.</w:t>
      </w:r>
    </w:p>
    <w:p>
      <w:pPr>
        <w:pStyle w:val="BodyText"/>
      </w:pPr>
      <w:r>
        <w:t xml:space="preserve">P5, Trung Quốc (mục tiêu IJOEM): Đỗ, T. H., &amp; Phan, A. T. (2026b). Phân tích 4.544 doanh nghiệp WBES hai sóng 2012/2024. Kết quả chính: chữ U ngược bền vững cấu trúc, điểm uốn 49,4% (2012), 47,2% (2024), Paternoster FSTS² p = 0,545 (không có sự khác biệt đáng kể); TCI tăng cường theo thời gian (+0,260 sang +0,426, Paternoster p = 0,011).</w:t>
      </w:r>
    </w:p>
    <w:bookmarkEnd w:id="93"/>
    <w:bookmarkStart w:id="94" w:name="phụ-lục-c-quy-ước-báo-cáo-thống-kê"/>
    <w:p>
      <w:pPr>
        <w:pStyle w:val="Heading3"/>
      </w:pPr>
      <w:r>
        <w:t xml:space="preserve">Phụ lục C: Quy ước báo cáo thống kê</w:t>
      </w:r>
    </w:p>
    <w:p>
      <w:pPr>
        <w:pStyle w:val="FirstParagraph"/>
      </w:pPr>
      <w:r>
        <w:t xml:space="preserve">Hệ số hồi quy trình bày không chuẩn hóa với HC1 SE trong ngoặc. Điểm uốn trình bày trên thang FSTS gốc (0–1) với 95% CI bằng delta method. Mức ý nghĩa: *** p &lt; 0,001; ** p &lt; 0,01; * p &lt; 0,05; † p &lt; 0,10. R² báo cáo cho từng mô hình cộng với ΔR² tăng thêm.</w:t>
      </w:r>
    </w:p>
    <w:p>
      <w:pPr>
        <w:pStyle w:val="BodyText"/>
      </w:pPr>
      <w:r>
        <w:t xml:space="preserve">Kiểm định Lind–Mehlum: báo cáo p-value cho H₀ (không có chữ U ngược), điểm uốn, và 95% CI điểm uốn.</w:t>
      </w:r>
    </w:p>
    <w:p>
      <w:pPr>
        <w:pStyle w:val="BodyText"/>
      </w:pPr>
      <w:r>
        <w:t xml:space="preserve">Kiểm định Paternoster: báo cáo z-statistic và p-value hai chiều cho so sánh hệ số giữa hai nhóm hoặc hai giai đoạn.</w:t>
      </w:r>
    </w:p>
    <w:bookmarkEnd w:id="94"/>
    <w:bookmarkStart w:id="95" w:name="X0767bc25b897159fdd5c7aaa38e034a3c88d362"/>
    <w:p>
      <w:pPr>
        <w:pStyle w:val="Heading3"/>
      </w:pPr>
      <w:r>
        <w:t xml:space="preserve">Phụ lục D: Thiết lập Stata: Sai số chuẩn cluster</w:t>
      </w:r>
    </w:p>
    <w:p>
      <w:pPr>
        <w:pStyle w:val="FirstParagraph"/>
      </w:pPr>
      <w:r>
        <w:t xml:space="preserve">Toàn bộ pipeline phân tích sử dụng Stata 18. Mô hình chuẩn (Mục 6.4) dùng HC1 robust SE cho điều chỉnh phương sai không đồng nhất cấp doanh nghiệp. Để kiểm định độ vững với clustering ở cấp quốc gia × ngành (country × industry cluster), thêm bước sau trước khi chạy mô hình hồi quy:</w:t>
      </w:r>
    </w:p>
    <w:p>
      <w:pPr>
        <w:pStyle w:val="SourceCode"/>
      </w:pPr>
      <w:r>
        <w:rPr>
          <w:rStyle w:val="NormalTok"/>
        </w:rPr>
        <w:t xml:space="preserve">* === Tạo biến </w:t>
      </w:r>
      <w:r>
        <w:rPr>
          <w:rStyle w:val="KeywordTok"/>
        </w:rPr>
        <w:t xml:space="preserve">cluster</w:t>
      </w:r>
      <w:r>
        <w:rPr>
          <w:rStyle w:val="NormalTok"/>
        </w:rPr>
        <w:t xml:space="preserve"> country × industry ===</w:t>
      </w:r>
      <w:r>
        <w:br/>
      </w:r>
      <w:r>
        <w:rPr>
          <w:rStyle w:val="KeywordTok"/>
        </w:rPr>
        <w:t xml:space="preserve">gen</w:t>
      </w:r>
      <w:r>
        <w:rPr>
          <w:rStyle w:val="NormalTok"/>
        </w:rPr>
        <w:t xml:space="preserve"> cluster_id = country_iso3 + </w:t>
      </w:r>
      <w:r>
        <w:rPr>
          <w:rStyle w:val="StringTok"/>
        </w:rPr>
        <w:t xml:space="preserve">"_"</w:t>
      </w:r>
      <w:r>
        <w:rPr>
          <w:rStyle w:val="NormalTok"/>
        </w:rPr>
        <w:t xml:space="preserve"> + </w:t>
      </w:r>
      <w:r>
        <w:rPr>
          <w:rStyle w:val="FunctionTok"/>
        </w:rPr>
        <w:t xml:space="preserve">string</w:t>
      </w:r>
      <w:r>
        <w:rPr>
          <w:rStyle w:val="NormalTok"/>
        </w:rPr>
        <w:t xml:space="preserve">(sector_main)</w:t>
      </w:r>
      <w:r>
        <w:br/>
      </w:r>
      <w:r>
        <w:br/>
      </w:r>
      <w:r>
        <w:rPr>
          <w:rStyle w:val="NormalTok"/>
        </w:rPr>
        <w:t xml:space="preserve">* === M1 với </w:t>
      </w:r>
      <w:r>
        <w:rPr>
          <w:rStyle w:val="KeywordTok"/>
        </w:rPr>
        <w:t xml:space="preserve">cluster</w:t>
      </w:r>
      <w:r>
        <w:rPr>
          <w:rStyle w:val="NormalTok"/>
        </w:rPr>
        <w:t xml:space="preserve"> </w:t>
      </w:r>
      <w:r>
        <w:rPr>
          <w:rStyle w:val="KeywordTok"/>
        </w:rPr>
        <w:t xml:space="preserve">SE</w:t>
      </w:r>
      <w:r>
        <w:rPr>
          <w:rStyle w:val="NormalTok"/>
        </w:rPr>
        <w:t xml:space="preserve"> (kiểm định H1) ===</w:t>
      </w:r>
      <w:r>
        <w:br/>
      </w:r>
      <w:r>
        <w:rPr>
          <w:rStyle w:val="KeywordTok"/>
        </w:rPr>
        <w:t xml:space="preserve">reg</w:t>
      </w:r>
      <w:r>
        <w:rPr>
          <w:rStyle w:val="NormalTok"/>
        </w:rPr>
        <w:t xml:space="preserve"> ln_lp fsts_c fsts_c2 ln_emp firm_age foreign_own i.country i.</w:t>
      </w:r>
      <w:r>
        <w:rPr>
          <w:rStyle w:val="FunctionTok"/>
        </w:rPr>
        <w:t xml:space="preserve">year</w:t>
      </w:r>
      <w:r>
        <w:rPr>
          <w:rStyle w:val="NormalTok"/>
        </w:rPr>
        <w:t xml:space="preserve">, </w:t>
      </w:r>
      <w:r>
        <w:rPr>
          <w:rStyle w:val="CommentTok"/>
        </w:rPr>
        <w:t xml:space="preserve">///</w:t>
      </w:r>
      <w:r>
        <w:br/>
      </w:r>
      <w:r>
        <w:rPr>
          <w:rStyle w:val="NormalTok"/>
        </w:rPr>
        <w:t xml:space="preserve">    </w:t>
      </w:r>
      <w:r>
        <w:rPr>
          <w:rStyle w:val="KeywordTok"/>
        </w:rPr>
        <w:t xml:space="preserve">vce</w:t>
      </w:r>
      <w:r>
        <w:rPr>
          <w:rStyle w:val="NormalTok"/>
        </w:rPr>
        <w:t xml:space="preserve">(</w:t>
      </w:r>
      <w:r>
        <w:rPr>
          <w:rStyle w:val="KeywordTok"/>
        </w:rPr>
        <w:t xml:space="preserve">cluster</w:t>
      </w:r>
      <w:r>
        <w:rPr>
          <w:rStyle w:val="NormalTok"/>
        </w:rPr>
        <w:t xml:space="preserve"> cluster_id)</w:t>
      </w:r>
      <w:r>
        <w:br/>
      </w:r>
      <w:r>
        <w:br/>
      </w:r>
      <w:r>
        <w:rPr>
          <w:rStyle w:val="NormalTok"/>
        </w:rPr>
        <w:t xml:space="preserve">* === M2 với </w:t>
      </w:r>
      <w:r>
        <w:rPr>
          <w:rStyle w:val="KeywordTok"/>
        </w:rPr>
        <w:t xml:space="preserve">cluster</w:t>
      </w:r>
      <w:r>
        <w:rPr>
          <w:rStyle w:val="NormalTok"/>
        </w:rPr>
        <w:t xml:space="preserve"> </w:t>
      </w:r>
      <w:r>
        <w:rPr>
          <w:rStyle w:val="KeywordTok"/>
        </w:rPr>
        <w:t xml:space="preserve">SE</w:t>
      </w:r>
      <w:r>
        <w:rPr>
          <w:rStyle w:val="NormalTok"/>
        </w:rPr>
        <w:t xml:space="preserve"> (kiểm định H2: TCI) ===</w:t>
      </w:r>
      <w:r>
        <w:br/>
      </w:r>
      <w:r>
        <w:rPr>
          <w:rStyle w:val="KeywordTok"/>
        </w:rPr>
        <w:t xml:space="preserve">reg</w:t>
      </w:r>
      <w:r>
        <w:rPr>
          <w:rStyle w:val="NormalTok"/>
        </w:rPr>
        <w:t xml:space="preserve"> ln_lp fsts_c fsts_c2 tci_z c.fsts_c#c.tci_z </w:t>
      </w:r>
      <w:r>
        <w:rPr>
          <w:rStyle w:val="CommentTok"/>
        </w:rPr>
        <w:t xml:space="preserve">///</w:t>
      </w:r>
      <w:r>
        <w:br/>
      </w:r>
      <w:r>
        <w:rPr>
          <w:rStyle w:val="NormalTok"/>
        </w:rPr>
        <w:t xml:space="preserve">    ln_emp firm_age foreign_own i.country i.</w:t>
      </w:r>
      <w:r>
        <w:rPr>
          <w:rStyle w:val="FunctionTok"/>
        </w:rPr>
        <w:t xml:space="preserve">year</w:t>
      </w:r>
      <w:r>
        <w:rPr>
          <w:rStyle w:val="NormalTok"/>
        </w:rPr>
        <w:t xml:space="preserve">, </w:t>
      </w:r>
      <w:r>
        <w:rPr>
          <w:rStyle w:val="CommentTok"/>
        </w:rPr>
        <w:t xml:space="preserve">///</w:t>
      </w:r>
      <w:r>
        <w:br/>
      </w:r>
      <w:r>
        <w:rPr>
          <w:rStyle w:val="NormalTok"/>
        </w:rPr>
        <w:t xml:space="preserve">    </w:t>
      </w:r>
      <w:r>
        <w:rPr>
          <w:rStyle w:val="KeywordTok"/>
        </w:rPr>
        <w:t xml:space="preserve">vce</w:t>
      </w:r>
      <w:r>
        <w:rPr>
          <w:rStyle w:val="NormalTok"/>
        </w:rPr>
        <w:t xml:space="preserve">(</w:t>
      </w:r>
      <w:r>
        <w:rPr>
          <w:rStyle w:val="KeywordTok"/>
        </w:rPr>
        <w:t xml:space="preserve">cluster</w:t>
      </w:r>
      <w:r>
        <w:rPr>
          <w:rStyle w:val="NormalTok"/>
        </w:rPr>
        <w:t xml:space="preserve"> cluster_id)</w:t>
      </w:r>
      <w:r>
        <w:br/>
      </w:r>
      <w:r>
        <w:br/>
      </w:r>
      <w:r>
        <w:rPr>
          <w:rStyle w:val="NormalTok"/>
        </w:rPr>
        <w:t xml:space="preserve">* === M3 với </w:t>
      </w:r>
      <w:r>
        <w:rPr>
          <w:rStyle w:val="KeywordTok"/>
        </w:rPr>
        <w:t xml:space="preserve">cluster</w:t>
      </w:r>
      <w:r>
        <w:rPr>
          <w:rStyle w:val="NormalTok"/>
        </w:rPr>
        <w:t xml:space="preserve"> </w:t>
      </w:r>
      <w:r>
        <w:rPr>
          <w:rStyle w:val="KeywordTok"/>
        </w:rPr>
        <w:t xml:space="preserve">SE</w:t>
      </w:r>
      <w:r>
        <w:rPr>
          <w:rStyle w:val="NormalTok"/>
        </w:rPr>
        <w:t xml:space="preserve"> (kiểm định H3: DAI) ===</w:t>
      </w:r>
      <w:r>
        <w:br/>
      </w:r>
      <w:r>
        <w:rPr>
          <w:rStyle w:val="KeywordTok"/>
        </w:rPr>
        <w:t xml:space="preserve">reg</w:t>
      </w:r>
      <w:r>
        <w:rPr>
          <w:rStyle w:val="NormalTok"/>
        </w:rPr>
        <w:t xml:space="preserve"> ln_lp fsts_c fsts_c2 dai_z c.fsts_c#c.dai_z c.fsts_c2#c.dai_z </w:t>
      </w:r>
      <w:r>
        <w:rPr>
          <w:rStyle w:val="CommentTok"/>
        </w:rPr>
        <w:t xml:space="preserve">///</w:t>
      </w:r>
      <w:r>
        <w:br/>
      </w:r>
      <w:r>
        <w:rPr>
          <w:rStyle w:val="NormalTok"/>
        </w:rPr>
        <w:t xml:space="preserve">    ln_emp firm_age foreign_own i.country i.</w:t>
      </w:r>
      <w:r>
        <w:rPr>
          <w:rStyle w:val="FunctionTok"/>
        </w:rPr>
        <w:t xml:space="preserve">year</w:t>
      </w:r>
      <w:r>
        <w:rPr>
          <w:rStyle w:val="NormalTok"/>
        </w:rPr>
        <w:t xml:space="preserve">, </w:t>
      </w:r>
      <w:r>
        <w:rPr>
          <w:rStyle w:val="CommentTok"/>
        </w:rPr>
        <w:t xml:space="preserve">///</w:t>
      </w:r>
      <w:r>
        <w:br/>
      </w:r>
      <w:r>
        <w:rPr>
          <w:rStyle w:val="NormalTok"/>
        </w:rPr>
        <w:t xml:space="preserve">    </w:t>
      </w:r>
      <w:r>
        <w:rPr>
          <w:rStyle w:val="KeywordTok"/>
        </w:rPr>
        <w:t xml:space="preserve">vce</w:t>
      </w:r>
      <w:r>
        <w:rPr>
          <w:rStyle w:val="NormalTok"/>
        </w:rPr>
        <w:t xml:space="preserve">(</w:t>
      </w:r>
      <w:r>
        <w:rPr>
          <w:rStyle w:val="KeywordTok"/>
        </w:rPr>
        <w:t xml:space="preserve">cluster</w:t>
      </w:r>
      <w:r>
        <w:rPr>
          <w:rStyle w:val="NormalTok"/>
        </w:rPr>
        <w:t xml:space="preserve"> cluster_id)</w:t>
      </w:r>
      <w:r>
        <w:br/>
      </w:r>
      <w:r>
        <w:br/>
      </w:r>
      <w:r>
        <w:rPr>
          <w:rStyle w:val="NormalTok"/>
        </w:rPr>
        <w:t xml:space="preserve">* === M5 với </w:t>
      </w:r>
      <w:r>
        <w:rPr>
          <w:rStyle w:val="KeywordTok"/>
        </w:rPr>
        <w:t xml:space="preserve">cluster</w:t>
      </w:r>
      <w:r>
        <w:rPr>
          <w:rStyle w:val="NormalTok"/>
        </w:rPr>
        <w:t xml:space="preserve"> </w:t>
      </w:r>
      <w:r>
        <w:rPr>
          <w:rStyle w:val="KeywordTok"/>
        </w:rPr>
        <w:t xml:space="preserve">SE</w:t>
      </w:r>
      <w:r>
        <w:rPr>
          <w:rStyle w:val="NormalTok"/>
        </w:rPr>
        <w:t xml:space="preserve"> (kiểm định H4a–H4c) ===</w:t>
      </w:r>
      <w:r>
        <w:br/>
      </w:r>
      <w:r>
        <w:rPr>
          <w:rStyle w:val="NormalTok"/>
        </w:rPr>
        <w:t xml:space="preserve">* H4a: kinh nghiệm</w:t>
      </w:r>
      <w:r>
        <w:br/>
      </w:r>
      <w:r>
        <w:rPr>
          <w:rStyle w:val="KeywordTok"/>
        </w:rPr>
        <w:t xml:space="preserve">reg</w:t>
      </w:r>
      <w:r>
        <w:rPr>
          <w:rStyle w:val="NormalTok"/>
        </w:rPr>
        <w:t xml:space="preserve"> ln_lp fsts_c fsts_c2 exp_manager c.fsts_c#c.exp_manager </w:t>
      </w:r>
      <w:r>
        <w:rPr>
          <w:rStyle w:val="CommentTok"/>
        </w:rPr>
        <w:t xml:space="preserve">///</w:t>
      </w:r>
      <w:r>
        <w:br/>
      </w:r>
      <w:r>
        <w:rPr>
          <w:rStyle w:val="NormalTok"/>
        </w:rPr>
        <w:t xml:space="preserve">    ln_emp firm_age foreign_own i.country i.</w:t>
      </w:r>
      <w:r>
        <w:rPr>
          <w:rStyle w:val="FunctionTok"/>
        </w:rPr>
        <w:t xml:space="preserve">year</w:t>
      </w:r>
      <w:r>
        <w:rPr>
          <w:rStyle w:val="NormalTok"/>
        </w:rPr>
        <w:t xml:space="preserve">, </w:t>
      </w:r>
      <w:r>
        <w:rPr>
          <w:rStyle w:val="CommentTok"/>
        </w:rPr>
        <w:t xml:space="preserve">///</w:t>
      </w:r>
      <w:r>
        <w:br/>
      </w:r>
      <w:r>
        <w:rPr>
          <w:rStyle w:val="NormalTok"/>
        </w:rPr>
        <w:t xml:space="preserve">    </w:t>
      </w:r>
      <w:r>
        <w:rPr>
          <w:rStyle w:val="KeywordTok"/>
        </w:rPr>
        <w:t xml:space="preserve">vce</w:t>
      </w:r>
      <w:r>
        <w:rPr>
          <w:rStyle w:val="NormalTok"/>
        </w:rPr>
        <w:t xml:space="preserve">(</w:t>
      </w:r>
      <w:r>
        <w:rPr>
          <w:rStyle w:val="KeywordTok"/>
        </w:rPr>
        <w:t xml:space="preserve">cluster</w:t>
      </w:r>
      <w:r>
        <w:rPr>
          <w:rStyle w:val="NormalTok"/>
        </w:rPr>
        <w:t xml:space="preserve"> cluster_id)</w:t>
      </w:r>
      <w:r>
        <w:br/>
      </w:r>
      <w:r>
        <w:br/>
      </w:r>
      <w:r>
        <w:rPr>
          <w:rStyle w:val="NormalTok"/>
        </w:rPr>
        <w:t xml:space="preserve">* H4b: học vấn</w:t>
      </w:r>
      <w:r>
        <w:br/>
      </w:r>
      <w:r>
        <w:rPr>
          <w:rStyle w:val="KeywordTok"/>
        </w:rPr>
        <w:t xml:space="preserve">reg</w:t>
      </w:r>
      <w:r>
        <w:rPr>
          <w:rStyle w:val="NormalTok"/>
        </w:rPr>
        <w:t xml:space="preserve"> ln_lp fsts_c fsts_c2 educ_manager c.fsts_c#c.educ_manager </w:t>
      </w:r>
      <w:r>
        <w:rPr>
          <w:rStyle w:val="CommentTok"/>
        </w:rPr>
        <w:t xml:space="preserve">///</w:t>
      </w:r>
      <w:r>
        <w:br/>
      </w:r>
      <w:r>
        <w:rPr>
          <w:rStyle w:val="NormalTok"/>
        </w:rPr>
        <w:t xml:space="preserve">    ln_emp firm_age foreign_own i.country i.</w:t>
      </w:r>
      <w:r>
        <w:rPr>
          <w:rStyle w:val="FunctionTok"/>
        </w:rPr>
        <w:t xml:space="preserve">year</w:t>
      </w:r>
      <w:r>
        <w:rPr>
          <w:rStyle w:val="NormalTok"/>
        </w:rPr>
        <w:t xml:space="preserve">, </w:t>
      </w:r>
      <w:r>
        <w:rPr>
          <w:rStyle w:val="CommentTok"/>
        </w:rPr>
        <w:t xml:space="preserve">///</w:t>
      </w:r>
      <w:r>
        <w:br/>
      </w:r>
      <w:r>
        <w:rPr>
          <w:rStyle w:val="NormalTok"/>
        </w:rPr>
        <w:t xml:space="preserve">    </w:t>
      </w:r>
      <w:r>
        <w:rPr>
          <w:rStyle w:val="KeywordTok"/>
        </w:rPr>
        <w:t xml:space="preserve">vce</w:t>
      </w:r>
      <w:r>
        <w:rPr>
          <w:rStyle w:val="NormalTok"/>
        </w:rPr>
        <w:t xml:space="preserve">(</w:t>
      </w:r>
      <w:r>
        <w:rPr>
          <w:rStyle w:val="KeywordTok"/>
        </w:rPr>
        <w:t xml:space="preserve">cluster</w:t>
      </w:r>
      <w:r>
        <w:rPr>
          <w:rStyle w:val="NormalTok"/>
        </w:rPr>
        <w:t xml:space="preserve"> cluster_id)</w:t>
      </w:r>
      <w:r>
        <w:br/>
      </w:r>
      <w:r>
        <w:br/>
      </w:r>
      <w:r>
        <w:rPr>
          <w:rStyle w:val="NormalTok"/>
        </w:rPr>
        <w:t xml:space="preserve">* H4c: giới tính (khám phá, hai phía, không đặt kỳ vọng)</w:t>
      </w:r>
      <w:r>
        <w:br/>
      </w:r>
      <w:r>
        <w:rPr>
          <w:rStyle w:val="KeywordTok"/>
        </w:rPr>
        <w:t xml:space="preserve">reg</w:t>
      </w:r>
      <w:r>
        <w:rPr>
          <w:rStyle w:val="NormalTok"/>
        </w:rPr>
        <w:t xml:space="preserve"> ln_lp fsts_c fsts_c2 gender_manager c.fsts_c#c.gender_manager </w:t>
      </w:r>
      <w:r>
        <w:rPr>
          <w:rStyle w:val="CommentTok"/>
        </w:rPr>
        <w:t xml:space="preserve">///</w:t>
      </w:r>
      <w:r>
        <w:br/>
      </w:r>
      <w:r>
        <w:rPr>
          <w:rStyle w:val="NormalTok"/>
        </w:rPr>
        <w:t xml:space="preserve">    ln_emp firm_age foreign_own i.country i.</w:t>
      </w:r>
      <w:r>
        <w:rPr>
          <w:rStyle w:val="FunctionTok"/>
        </w:rPr>
        <w:t xml:space="preserve">year</w:t>
      </w:r>
      <w:r>
        <w:rPr>
          <w:rStyle w:val="NormalTok"/>
        </w:rPr>
        <w:t xml:space="preserve">, </w:t>
      </w:r>
      <w:r>
        <w:rPr>
          <w:rStyle w:val="CommentTok"/>
        </w:rPr>
        <w:t xml:space="preserve">///</w:t>
      </w:r>
      <w:r>
        <w:br/>
      </w:r>
      <w:r>
        <w:rPr>
          <w:rStyle w:val="NormalTok"/>
        </w:rPr>
        <w:t xml:space="preserve">    </w:t>
      </w:r>
      <w:r>
        <w:rPr>
          <w:rStyle w:val="KeywordTok"/>
        </w:rPr>
        <w:t xml:space="preserve">vce</w:t>
      </w:r>
      <w:r>
        <w:rPr>
          <w:rStyle w:val="NormalTok"/>
        </w:rPr>
        <w:t xml:space="preserve">(</w:t>
      </w:r>
      <w:r>
        <w:rPr>
          <w:rStyle w:val="KeywordTok"/>
        </w:rPr>
        <w:t xml:space="preserve">cluster</w:t>
      </w:r>
      <w:r>
        <w:rPr>
          <w:rStyle w:val="NormalTok"/>
        </w:rPr>
        <w:t xml:space="preserve"> cluster_id)</w:t>
      </w:r>
      <w:r>
        <w:br/>
      </w:r>
      <w:r>
        <w:br/>
      </w:r>
      <w:r>
        <w:rPr>
          <w:rStyle w:val="NormalTok"/>
        </w:rPr>
        <w:t xml:space="preserve">* === Lind-Mehlum utest sau mỗi mô hình có FSTS² ===</w:t>
      </w:r>
      <w:r>
        <w:br/>
      </w:r>
      <w:r>
        <w:rPr>
          <w:rStyle w:val="NormalTok"/>
        </w:rPr>
        <w:t xml:space="preserve">* (cài đặt: </w:t>
      </w:r>
      <w:r>
        <w:rPr>
          <w:rStyle w:val="KeywordTok"/>
        </w:rPr>
        <w:t xml:space="preserve">ssc</w:t>
      </w:r>
      <w:r>
        <w:rPr>
          <w:rStyle w:val="NormalTok"/>
        </w:rPr>
        <w:t xml:space="preserve"> install utest)</w:t>
      </w:r>
      <w:r>
        <w:br/>
      </w:r>
      <w:r>
        <w:rPr>
          <w:rStyle w:val="NormalTok"/>
        </w:rPr>
        <w:t xml:space="preserve">utest fsts_c fsts_c2</w:t>
      </w:r>
      <w:r>
        <w:br/>
      </w:r>
      <w:r>
        <w:br/>
      </w:r>
      <w:r>
        <w:rPr>
          <w:rStyle w:val="NormalTok"/>
        </w:rPr>
        <w:t xml:space="preserve">* === Kiểm tra số </w:t>
      </w:r>
      <w:r>
        <w:rPr>
          <w:rStyle w:val="KeywordTok"/>
        </w:rPr>
        <w:t xml:space="preserve">cluster</w:t>
      </w:r>
      <w:r>
        <w:rPr>
          <w:rStyle w:val="NormalTok"/>
        </w:rPr>
        <w:t xml:space="preserve"> ===</w:t>
      </w:r>
      <w:r>
        <w:br/>
      </w:r>
      <w:r>
        <w:rPr>
          <w:rStyle w:val="NormalTok"/>
        </w:rPr>
        <w:t xml:space="preserve">* Số </w:t>
      </w:r>
      <w:r>
        <w:rPr>
          <w:rStyle w:val="KeywordTok"/>
        </w:rPr>
        <w:t xml:space="preserve">cluster</w:t>
      </w:r>
      <w:r>
        <w:rPr>
          <w:rStyle w:val="NormalTok"/>
        </w:rPr>
        <w:t xml:space="preserve"> tối thiểu khuyến nghị: ≥ 50 (Cameron &amp; Miller, 2015)</w:t>
      </w:r>
      <w:r>
        <w:br/>
      </w:r>
      <w:r>
        <w:rPr>
          <w:rStyle w:val="NormalTok"/>
        </w:rPr>
        <w:t xml:space="preserve">* Mẫu gộp 50 nền kinh tế × 5 ngành chính ≈ 250 cụm, thỏa mãn</w:t>
      </w:r>
      <w:r>
        <w:br/>
      </w:r>
      <w:r>
        <w:rPr>
          <w:rStyle w:val="KeywordTok"/>
        </w:rPr>
        <w:t xml:space="preserve">tab</w:t>
      </w:r>
      <w:r>
        <w:rPr>
          <w:rStyle w:val="NormalTok"/>
        </w:rPr>
        <w:t xml:space="preserve"> cluster_id </w:t>
      </w:r>
      <w:r>
        <w:rPr>
          <w:rStyle w:val="KeywordTok"/>
        </w:rPr>
        <w:t xml:space="preserve">if</w:t>
      </w:r>
      <w:r>
        <w:rPr>
          <w:rStyle w:val="NormalTok"/>
        </w:rPr>
        <w:t xml:space="preserve"> </w:t>
      </w:r>
      <w:r>
        <w:rPr>
          <w:rStyle w:val="FunctionTok"/>
        </w:rPr>
        <w:t xml:space="preserve">e</w:t>
      </w:r>
      <w:r>
        <w:rPr>
          <w:rStyle w:val="NormalTok"/>
        </w:rPr>
        <w:t xml:space="preserve">(</w:t>
      </w:r>
      <w:r>
        <w:rPr>
          <w:rStyle w:val="KeywordTok"/>
        </w:rPr>
        <w:t xml:space="preserve">sample</w:t>
      </w:r>
      <w:r>
        <w:rPr>
          <w:rStyle w:val="NormalTok"/>
        </w:rPr>
        <w:t xml:space="preserve">) == 1, </w:t>
      </w:r>
      <w:r>
        <w:rPr>
          <w:rStyle w:val="KeywordTok"/>
        </w:rPr>
        <w:t xml:space="preserve">sum</w:t>
      </w:r>
      <w:r>
        <w:rPr>
          <w:rStyle w:val="NormalTok"/>
        </w:rPr>
        <w:t xml:space="preserve">(ln_lp)</w:t>
      </w:r>
    </w:p>
    <w:p>
      <w:pPr>
        <w:pStyle w:val="FirstParagraph"/>
      </w:pPr>
      <w:r>
        <w:rPr>
          <w:bCs/>
          <w:b/>
        </w:rPr>
        <w:t xml:space="preserve">Lưu ý kỹ thuật</w:t>
      </w:r>
      <w:r>
        <w:t xml:space="preserve">:</w:t>
      </w:r>
      <w:r>
        <w:t xml:space="preserve"> </w:t>
      </w:r>
      <w:r>
        <w:rPr>
          <w:rStyle w:val="VerbatimChar"/>
        </w:rPr>
        <w:t xml:space="preserve">vce(cluster cluster_id)</w:t>
      </w:r>
      <w:r>
        <w:t xml:space="preserve"> </w:t>
      </w:r>
      <w:r>
        <w:t xml:space="preserve">điều chỉnh cho tương quan trong cùng nhóm quốc gia-ngành (intra-cluster correlation), khác với HC1 ở chỗ cho phép phương sai không đồng nhất lẫn tương quan trong cluster. Kết quả kỳ vọng: SE có thể tăng lên so với HC1 trong các cluster có nhiều doanh nghiệp tương tự (ví dụ, nhóm Ấn Độ sản xuất). Hệ số điểm ước lượng (point estimates) không thay đổi.</w:t>
      </w:r>
    </w:p>
    <w:p>
      <w:pPr>
        <w:pStyle w:val="BodyText"/>
      </w:pPr>
      <w:r>
        <w:rPr>
          <w:bCs/>
          <w:b/>
        </w:rPr>
        <w:t xml:space="preserve">Tham chiếu</w:t>
      </w:r>
      <w:r>
        <w:t xml:space="preserve">: Cameron, A. C., &amp; Miller, D. L. (2015). A practitioner’s guide to cluster-robust inference.</w:t>
      </w:r>
      <w:r>
        <w:t xml:space="preserve"> </w:t>
      </w:r>
      <w:r>
        <w:rPr>
          <w:iCs/>
          <w:i/>
        </w:rPr>
        <w:t xml:space="preserve">Journal of Human Resources, 50</w:t>
      </w:r>
      <w:r>
        <w:t xml:space="preserve">(2), 317–372.</w:t>
      </w:r>
    </w:p>
    <w:p>
      <w:r>
        <w:br w:type="page"/>
      </w:r>
    </w:p>
    <w:bookmarkEnd w:id="95"/>
    <w:bookmarkEnd w:id="96"/>
    <w:sectPr>
      <w:pgSz w:h="16838" w:w="11906"/>
      <w:pgMar w:bottom="1417" w:left="1417" w:right="1417" w:top="141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line="276" w:lineRule="auto"/>
      <w:jc w:val="both"/>
    </w:pPr>
    <w:rPr>
      <w:rFonts w:ascii="Times New Roman" w:eastAsia="Times New Roman" w:hAnsi="Times New Roman"/>
      <w:color w:val="000000"/>
      <w:sz w:val="24"/>
    </w:rPr>
  </w:style>
  <w:style w:styleId="BodyText" w:type="paragraph">
    <w:name w:val="Body Text"/>
    <w:basedOn w:val="Normal"/>
    <w:link w:val="BodyTextChar"/>
    <w:pPr>
      <w:spacing w:after="180" w:before="180" w:line="276" w:lineRule="auto"/>
      <w:jc w:val="both"/>
    </w:pPr>
    <w:qFormat/>
    <w:rPr>
      <w:rFonts w:ascii="Times New Roman" w:eastAsia="Times New Roman" w:hAnsi="Times New Roman"/>
      <w:color w:val="000000"/>
      <w:sz w:val="24"/>
    </w:rPr>
  </w:style>
  <w:style w:customStyle="1" w:styleId="FirstParagraph" w:type="paragraph">
    <w:name w:val="First Paragraph"/>
    <w:basedOn w:val="BodyText"/>
    <w:next w:val="BodyText"/>
    <w:qFormat/>
    <w:pPr>
      <w:spacing w:line="276" w:lineRule="auto"/>
      <w:jc w:val="both"/>
    </w:pPr>
    <w:rPr>
      <w:rFonts w:ascii="Times New Roman" w:eastAsia="Times New Roman" w:hAnsi="Times New Roman"/>
      <w:color w:val="000000"/>
      <w:sz w:val="24"/>
    </w:rPr>
  </w:style>
  <w:style w:customStyle="1" w:styleId="Compact" w:type="paragraph">
    <w:name w:val="Compact"/>
    <w:basedOn w:val="BodyText"/>
    <w:qFormat/>
    <w:pPr>
      <w:spacing w:after="36" w:before="36" w:line="276" w:lineRule="auto"/>
      <w:jc w:val="both"/>
    </w:pPr>
    <w:rPr>
      <w:rFonts w:ascii="Times New Roman" w:eastAsia="Times New Roman" w:hAnsi="Times New Roman"/>
      <w:color w:val="000000"/>
      <w:sz w:val="24"/>
    </w:rPr>
  </w:style>
  <w:style w:styleId="Title" w:type="paragraph">
    <w:name w:val="Title"/>
    <w:basedOn w:val="Normal"/>
    <w:next w:val="BodyText"/>
    <w:qFormat/>
    <w:pPr>
      <w:keepNext/>
      <w:keepLines/>
      <w:spacing w:after="240" w:before="480" w:line="276" w:lineRule="auto"/>
      <w:jc w:val="both"/>
    </w:pPr>
    <w:rPr>
      <w:rFonts w:ascii="Times New Roman" w:asciiTheme="majorHAnsi" w:cstheme="majorBidi" w:eastAsia="Times New Roman" w:eastAsiaTheme="majorEastAsia" w:hAnsi="Times New Roman" w:hAnsiTheme="majorHAnsi"/>
      <w:b/>
      <w:bCs/>
      <w:color w:val="000000"/>
      <w:sz w:val="24"/>
      <w:szCs w:val="36"/>
    </w:rPr>
  </w:style>
  <w:style w:styleId="Subtitle" w:type="paragraph">
    <w:name w:val="Subtitle"/>
    <w:basedOn w:val="Title"/>
    <w:next w:val="BodyText"/>
    <w:qFormat/>
    <w:pPr>
      <w:keepNext/>
      <w:keepLines/>
      <w:spacing w:after="240" w:before="240" w:line="276" w:lineRule="auto"/>
      <w:jc w:val="both"/>
    </w:pPr>
    <w:rPr>
      <w:rFonts w:ascii="Times New Roman" w:eastAsia="Times New Roman" w:hAnsi="Times New Roman"/>
      <w:color w:val="000000"/>
      <w:sz w:val="24"/>
      <w:szCs w:val="30"/>
    </w:rPr>
  </w:style>
  <w:style w:customStyle="1" w:styleId="Author" w:type="paragraph">
    <w:name w:val="Author"/>
    <w:next w:val="BodyText"/>
    <w:qFormat/>
    <w:pPr>
      <w:keepNext/>
      <w:keepLines/>
      <w:spacing w:line="276" w:lineRule="auto"/>
      <w:jc w:val="both"/>
    </w:pPr>
    <w:rPr>
      <w:rFonts w:ascii="Times New Roman" w:eastAsia="Times New Roman" w:hAnsi="Times New Roman"/>
      <w:color w:val="000000"/>
      <w:sz w:val="24"/>
    </w:rPr>
  </w:style>
  <w:style w:styleId="Date" w:type="paragraph">
    <w:name w:val="Date"/>
    <w:next w:val="BodyText"/>
    <w:qFormat/>
    <w:pPr>
      <w:keepNext/>
      <w:keepLines/>
      <w:spacing w:line="276" w:lineRule="auto"/>
      <w:jc w:val="both"/>
    </w:pPr>
    <w:rPr>
      <w:rFonts w:ascii="Times New Roman" w:eastAsia="Times New Roman" w:hAnsi="Times New Roman"/>
      <w:color w:val="000000"/>
      <w:sz w:val="24"/>
    </w:rPr>
  </w:style>
  <w:style w:customStyle="1" w:styleId="AbstractTitle" w:type="paragraph">
    <w:name w:val="Abstract Title"/>
    <w:basedOn w:val="Normal"/>
    <w:next w:val="Abstract"/>
    <w:qFormat/>
    <w:pPr>
      <w:keepNext/>
      <w:keepLines/>
      <w:jc w:val="both"/>
      <w:spacing w:after="0" w:before="300" w:line="276" w:lineRule="auto"/>
    </w:pPr>
    <w:rPr>
      <w:color w:val="000000"/>
      <w:sz w:val="24"/>
      <w:szCs w:val="20"/>
      <w:rFonts w:ascii="Times New Roman" w:eastAsia="Times New Roman" w:hAnsi="Times New Roman"/>
      <w:b/>
    </w:rPr>
  </w:style>
  <w:style w:customStyle="1" w:styleId="Abstract" w:type="paragraph">
    <w:name w:val="Abstract"/>
    <w:basedOn w:val="Normal"/>
    <w:next w:val="BodyText"/>
    <w:qFormat/>
    <w:pPr>
      <w:keepNext/>
      <w:keepLines/>
      <w:spacing w:after="300" w:before="100" w:line="276" w:lineRule="auto"/>
      <w:jc w:val="both"/>
    </w:pPr>
    <w:rPr>
      <w:rFonts w:ascii="Times New Roman" w:eastAsia="Times New Roman" w:hAnsi="Times New Roman"/>
      <w:color w:val="000000"/>
      <w:sz w:val="24"/>
      <w:szCs w:val="20"/>
    </w:rPr>
  </w:style>
  <w:style w:styleId="Bibliography" w:type="paragraph">
    <w:name w:val="Bibliography"/>
    <w:basedOn w:val="Normal"/>
    <w:next w:val="Bibliography"/>
    <w:qFormat/>
    <w:pPr>
      <w:spacing w:line="276" w:lineRule="auto"/>
      <w:jc w:val="both"/>
    </w:pPr>
    <w:rPr>
      <w:rFonts w:ascii="Times New Roman" w:eastAsia="Times New Roman" w:hAnsi="Times New Roman"/>
      <w:color w:val="000000"/>
      <w:sz w:val="24"/>
    </w:rPr>
  </w:style>
  <w:style w:styleId="Heading1" w:type="paragraph">
    <w:name w:val="Heading 1"/>
    <w:basedOn w:val="Normal"/>
    <w:next w:val="BodyText"/>
    <w:uiPriority w:val="9"/>
    <w:qFormat/>
    <w:pPr>
      <w:keepNext/>
      <w:keepLines/>
      <w:spacing w:after="0" w:before="480" w:line="276" w:lineRule="auto"/>
      <w:jc w:val="both"/>
      <w:outlineLvl w:val="0"/>
    </w:pPr>
    <w:rPr>
      <w:rFonts w:ascii="Times New Roman" w:asciiTheme="majorHAnsi" w:cstheme="majorBidi" w:eastAsia="Times New Roman" w:eastAsiaTheme="majorEastAsia" w:hAnsi="Times New Roman" w:hAnsiTheme="majorHAnsi"/>
      <w:b/>
      <w:bCs/>
      <w:color w:val="000000"/>
      <w:sz w:val="24"/>
      <w:szCs w:val="32"/>
    </w:rPr>
  </w:style>
  <w:style w:styleId="Heading2" w:type="paragraph">
    <w:name w:val="Heading 2"/>
    <w:basedOn w:val="Normal"/>
    <w:next w:val="BodyText"/>
    <w:uiPriority w:val="9"/>
    <w:unhideWhenUsed/>
    <w:qFormat/>
    <w:pPr>
      <w:keepNext/>
      <w:keepLines/>
      <w:spacing w:after="0" w:before="200" w:line="276" w:lineRule="auto"/>
      <w:jc w:val="both"/>
      <w:outlineLvl w:val="1"/>
    </w:pPr>
    <w:rPr>
      <w:rFonts w:ascii="Times New Roman" w:asciiTheme="majorHAnsi" w:cstheme="majorBidi" w:eastAsia="Times New Roman" w:eastAsiaTheme="majorEastAsia" w:hAnsi="Times New Roman" w:hAnsiTheme="majorHAnsi"/>
      <w:b/>
      <w:bCs/>
      <w:color w:val="000000"/>
      <w:sz w:val="24"/>
      <w:szCs w:val="28"/>
    </w:rPr>
  </w:style>
  <w:style w:styleId="Heading3" w:type="paragraph">
    <w:name w:val="Heading 3"/>
    <w:basedOn w:val="Normal"/>
    <w:next w:val="BodyText"/>
    <w:uiPriority w:val="9"/>
    <w:unhideWhenUsed/>
    <w:qFormat/>
    <w:pPr>
      <w:keepNext/>
      <w:keepLines/>
      <w:spacing w:after="0" w:before="200" w:line="276" w:lineRule="auto"/>
      <w:jc w:val="both"/>
      <w:outlineLvl w:val="2"/>
    </w:pPr>
    <w:rPr>
      <w:rFonts w:ascii="Times New Roman" w:asciiTheme="majorHAnsi" w:cstheme="majorBidi" w:eastAsia="Times New Roman" w:eastAsiaTheme="majorEastAsia" w:hAnsi="Times New Roman" w:hAnsiTheme="majorHAnsi"/>
      <w:b/>
      <w:bCs/>
      <w:color w:val="000000"/>
      <w:sz w:val="24"/>
      <w:szCs w:val="24"/>
    </w:rPr>
  </w:style>
  <w:style w:styleId="Heading4" w:type="paragraph">
    <w:name w:val="Heading 4"/>
    <w:basedOn w:val="Normal"/>
    <w:next w:val="BodyText"/>
    <w:uiPriority w:val="9"/>
    <w:unhideWhenUsed/>
    <w:qFormat/>
    <w:pPr>
      <w:keepNext/>
      <w:keepLines/>
      <w:spacing w:after="0" w:before="200" w:line="276" w:lineRule="auto"/>
      <w:jc w:val="both"/>
      <w:outlineLvl w:val="3"/>
    </w:pPr>
    <w:rPr>
      <w:rFonts w:ascii="Times New Roman" w:asciiTheme="majorHAnsi" w:cstheme="majorBidi" w:eastAsia="Times New Roman" w:eastAsiaTheme="majorEastAsia" w:hAnsi="Times New Roman" w:hAnsiTheme="majorHAnsi"/>
      <w:i/>
      <w:bCs/>
      <w:color w:val="000000"/>
      <w:sz w:val="24"/>
      <w:szCs w:val="24"/>
    </w:rPr>
  </w:style>
  <w:style w:styleId="Heading5" w:type="paragraph">
    <w:name w:val="Heading 5"/>
    <w:basedOn w:val="Normal"/>
    <w:next w:val="BodyText"/>
    <w:uiPriority w:val="9"/>
    <w:unhideWhenUsed/>
    <w:qFormat/>
    <w:pPr>
      <w:keepNext/>
      <w:keepLines/>
      <w:spacing w:after="0" w:before="200" w:line="276" w:lineRule="auto"/>
      <w:jc w:val="both"/>
      <w:outlineLvl w:val="4"/>
    </w:pPr>
    <w:rPr>
      <w:rFonts w:ascii="Times New Roman" w:asciiTheme="majorHAnsi" w:cstheme="majorBidi" w:eastAsia="Times New Roman" w:eastAsiaTheme="majorEastAsia" w:hAnsi="Times New Roman" w:hAnsiTheme="majorHAnsi"/>
      <w:iCs/>
      <w:color w:val="000000"/>
      <w:sz w:val="24"/>
      <w:szCs w:val="24"/>
    </w:rPr>
  </w:style>
  <w:style w:styleId="Heading6" w:type="paragraph">
    <w:name w:val="Heading 6"/>
    <w:basedOn w:val="Normal"/>
    <w:next w:val="BodyText"/>
    <w:uiPriority w:val="9"/>
    <w:unhideWhenUsed/>
    <w:qFormat/>
    <w:pPr>
      <w:keepNext/>
      <w:keepLines/>
      <w:spacing w:after="0" w:before="200" w:line="276" w:lineRule="auto"/>
      <w:jc w:val="both"/>
      <w:outlineLvl w:val="5"/>
    </w:pPr>
    <w:rPr>
      <w:rFonts w:ascii="Times New Roman" w:asciiTheme="majorHAnsi" w:cstheme="majorBidi" w:eastAsia="Times New Roman" w:eastAsiaTheme="majorEastAsia" w:hAnsi="Times New Roman" w:hAnsiTheme="majorHAnsi"/>
      <w:color w:val="000000"/>
      <w:sz w:val="24"/>
      <w:szCs w:val="24"/>
    </w:rPr>
  </w:style>
  <w:style w:styleId="Heading7" w:type="paragraph">
    <w:name w:val="Heading 7"/>
    <w:basedOn w:val="Normal"/>
    <w:next w:val="BodyText"/>
    <w:uiPriority w:val="9"/>
    <w:unhideWhenUsed/>
    <w:qFormat/>
    <w:pPr>
      <w:keepNext/>
      <w:keepLines/>
      <w:spacing w:after="0" w:before="200" w:line="276" w:lineRule="auto"/>
      <w:jc w:val="both"/>
      <w:outlineLvl w:val="6"/>
    </w:pPr>
    <w:rPr>
      <w:rFonts w:ascii="Times New Roman" w:asciiTheme="majorHAnsi" w:cstheme="majorBidi" w:eastAsia="Times New Roman" w:eastAsiaTheme="majorEastAsia" w:hAnsi="Times New Roman" w:hAnsiTheme="majorHAnsi"/>
      <w:color w:val="000000"/>
      <w:sz w:val="24"/>
      <w:szCs w:val="24"/>
    </w:rPr>
  </w:style>
  <w:style w:styleId="Heading8" w:type="paragraph">
    <w:name w:val="Heading 8"/>
    <w:basedOn w:val="Normal"/>
    <w:next w:val="BodyText"/>
    <w:uiPriority w:val="9"/>
    <w:unhideWhenUsed/>
    <w:qFormat/>
    <w:pPr>
      <w:keepNext/>
      <w:keepLines/>
      <w:spacing w:after="0" w:before="200" w:line="276" w:lineRule="auto"/>
      <w:jc w:val="both"/>
      <w:outlineLvl w:val="7"/>
    </w:pPr>
    <w:rPr>
      <w:rFonts w:ascii="Times New Roman" w:asciiTheme="majorHAnsi" w:cstheme="majorBidi" w:eastAsia="Times New Roman" w:eastAsiaTheme="majorEastAsia" w:hAnsi="Times New Roman" w:hAnsiTheme="majorHAnsi"/>
      <w:color w:val="000000"/>
      <w:sz w:val="24"/>
      <w:szCs w:val="24"/>
    </w:rPr>
  </w:style>
  <w:style w:styleId="Heading9" w:type="paragraph">
    <w:name w:val="Heading 9"/>
    <w:basedOn w:val="Normal"/>
    <w:next w:val="BodyText"/>
    <w:uiPriority w:val="9"/>
    <w:unhideWhenUsed/>
    <w:qFormat/>
    <w:pPr>
      <w:keepNext/>
      <w:keepLines/>
      <w:spacing w:after="0" w:before="200" w:line="276" w:lineRule="auto"/>
      <w:jc w:val="both"/>
      <w:outlineLvl w:val="8"/>
    </w:pPr>
    <w:rPr>
      <w:rFonts w:ascii="Times New Roman" w:asciiTheme="majorHAnsi" w:cstheme="majorBidi" w:eastAsia="Times New Roman" w:eastAsiaTheme="majorEastAsia" w:hAnsi="Times New Roman" w:hAnsiTheme="majorHAnsi"/>
      <w:color w:val="000000"/>
      <w:sz w:val="24"/>
      <w:szCs w:val="24"/>
    </w:rPr>
  </w:style>
  <w:style w:styleId="BlockText" w:type="paragraph">
    <w:name w:val="Block Text"/>
    <w:basedOn w:val="BodyText"/>
    <w:next w:val="BodyText"/>
    <w:uiPriority w:val="9"/>
    <w:unhideWhenUsed/>
    <w:qFormat/>
    <w:pPr>
      <w:spacing w:after="100" w:before="100" w:line="276" w:lineRule="auto"/>
      <w:ind w:firstLine="0" w:left="480" w:right="480"/>
      <w:jc w:val="both"/>
    </w:pPr>
    <w:rPr>
      <w:rFonts w:ascii="Times New Roman" w:eastAsia="Times New Roman" w:hAnsi="Times New Roman"/>
      <w:color w:val="000000"/>
      <w:sz w:val="24"/>
    </w:rPr>
  </w:style>
  <w:style w:styleId="FootnoteText" w:type="paragraph">
    <w:name w:val="Footnote Text"/>
    <w:basedOn w:val="Normal"/>
    <w:next w:val="FootnoteText"/>
    <w:uiPriority w:val="9"/>
    <w:unhideWhenUsed/>
    <w:qFormat/>
    <w:pPr>
      <w:spacing w:line="276" w:lineRule="auto"/>
      <w:jc w:val="both"/>
    </w:pPr>
    <w:rPr>
      <w:rFonts w:ascii="Times New Roman" w:eastAsia="Times New Roman" w:hAnsi="Times New Roman"/>
      <w:color w:val="000000"/>
      <w:sz w:val="24"/>
    </w:rPr>
  </w:style>
  <w:style w:default="1" w:styleId="DefaultParagraphFont" w:type="character">
    <w:name w:val="Default Paragraph Font"/>
    <w:semiHidden/>
    <w:unhideWhenUsed/>
    <w:rPr>
      <w:rFonts w:ascii="Times New Roman" w:eastAsia="Times New Roman" w:hAnsi="Times New Roman"/>
      <w:color w:val="000000"/>
      <w:sz w:val="24"/>
    </w:rPr>
  </w:style>
  <w:style w:default="1" w:styleId="Table" w:type="table">
    <w:name w:val="Table"/>
    <w:basedOn w:val="TableNormal"/>
    <w:semiHidden/>
    <w:unhideWhenUsed/>
    <w:qFormat/>
    <w:pPr>
      <w:spacing w:line="276" w:lineRule="auto"/>
      <w:jc w:val="both"/>
    </w:pPr>
    <w:rPr>
      <w:rFonts w:ascii="Times New Roman" w:eastAsia="Times New Roman" w:hAnsi="Times New Roman"/>
      <w:color w:val="000000"/>
      <w:sz w:val="24"/>
    </w:rPr>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line="276" w:lineRule="auto"/>
      <w:jc w:val="both"/>
    </w:pPr>
    <w:rPr>
      <w:rFonts w:ascii="Times New Roman" w:eastAsia="Times New Roman" w:hAnsi="Times New Roman"/>
      <w:b/>
      <w:color w:val="000000"/>
      <w:sz w:val="24"/>
    </w:rPr>
  </w:style>
  <w:style w:customStyle="1" w:styleId="Definition" w:type="paragraph">
    <w:name w:val="Definition"/>
    <w:basedOn w:val="Normal"/>
    <w:pPr>
      <w:spacing w:line="276" w:lineRule="auto"/>
      <w:jc w:val="both"/>
    </w:pPr>
    <w:rPr>
      <w:rFonts w:ascii="Times New Roman" w:eastAsia="Times New Roman" w:hAnsi="Times New Roman"/>
      <w:color w:val="000000"/>
      <w:sz w:val="24"/>
    </w:rPr>
  </w:style>
  <w:style w:styleId="Caption" w:type="paragraph">
    <w:name w:val="Caption"/>
    <w:basedOn w:val="Normal"/>
    <w:link w:val="BodyTextChar"/>
    <w:pPr>
      <w:spacing w:after="120" w:before="0" w:line="276" w:lineRule="auto"/>
      <w:jc w:val="both"/>
    </w:pPr>
    <w:rPr>
      <w:rFonts w:ascii="Times New Roman" w:eastAsia="Times New Roman" w:hAnsi="Times New Roman"/>
      <w:i/>
      <w:color w:val="000000"/>
      <w:sz w:val="24"/>
    </w:rPr>
  </w:style>
  <w:style w:customStyle="1" w:styleId="TableCaption" w:type="paragraph">
    <w:name w:val="Table Caption"/>
    <w:basedOn w:val="Caption"/>
    <w:pPr>
      <w:keepNext/>
      <w:spacing w:line="276" w:lineRule="auto"/>
      <w:jc w:val="both"/>
    </w:pPr>
    <w:rPr>
      <w:rFonts w:ascii="Times New Roman" w:eastAsia="Times New Roman" w:hAnsi="Times New Roman"/>
      <w:color w:val="000000"/>
      <w:sz w:val="24"/>
    </w:rPr>
  </w:style>
  <w:style w:customStyle="1" w:styleId="ImageCaption" w:type="paragraph">
    <w:name w:val="Image Caption"/>
    <w:basedOn w:val="Caption"/>
    <w:pPr>
      <w:spacing w:line="276" w:lineRule="auto"/>
      <w:jc w:val="both"/>
    </w:pPr>
    <w:rPr>
      <w:rFonts w:ascii="Times New Roman" w:eastAsia="Times New Roman" w:hAnsi="Times New Roman"/>
      <w:color w:val="000000"/>
      <w:sz w:val="24"/>
    </w:rPr>
  </w:style>
  <w:style w:customStyle="1" w:styleId="Figure" w:type="paragraph">
    <w:name w:val="Figure"/>
    <w:basedOn w:val="Normal"/>
    <w:pPr>
      <w:spacing w:line="276" w:lineRule="auto"/>
      <w:jc w:val="both"/>
    </w:pPr>
    <w:rPr>
      <w:rFonts w:ascii="Times New Roman" w:eastAsia="Times New Roman" w:hAnsi="Times New Roman"/>
      <w:color w:val="000000"/>
      <w:sz w:val="24"/>
    </w:rPr>
  </w:style>
  <w:style w:customStyle="1" w:styleId="CaptionedFigure" w:type="paragraph">
    <w:name w:val="Captioned Figure"/>
    <w:basedOn w:val="Figure"/>
    <w:pPr>
      <w:keepNext/>
      <w:spacing w:line="276" w:lineRule="auto"/>
      <w:jc w:val="both"/>
    </w:pPr>
    <w:rPr>
      <w:rFonts w:ascii="Times New Roman" w:eastAsia="Times New Roman" w:hAnsi="Times New Roman"/>
      <w:color w:val="000000"/>
      <w:sz w:val="24"/>
    </w:rPr>
  </w:style>
  <w:style w:customStyle="1" w:styleId="BodyTextChar" w:type="character">
    <w:name w:val="Body Text Char"/>
    <w:basedOn w:val="DefaultParagraphFont"/>
    <w:link w:val="BodyText"/>
    <w:rPr>
      <w:rFonts w:ascii="Times New Roman" w:eastAsia="Times New Roman" w:hAnsi="Times New Roman"/>
      <w:color w:val="000000"/>
      <w:sz w:val="24"/>
    </w:rPr>
  </w:style>
  <w:style w:customStyle="1" w:styleId="VerbatimChar" w:type="character">
    <w:name w:val="Verbatim Char"/>
    <w:basedOn w:val="BodyTextChar"/>
    <w:rPr>
      <w:rFonts w:ascii="Times New Roman" w:eastAsia="Times New Roman" w:hAnsi="Times New Roman"/>
      <w:color w:val="000000"/>
      <w:sz w:val="24"/>
    </w:rPr>
  </w:style>
  <w:style w:customStyle="1" w:styleId="SectionNumber" w:type="character">
    <w:name w:val="Section Number"/>
    <w:basedOn w:val="BodyTextChar"/>
    <w:rPr>
      <w:rFonts w:ascii="Times New Roman" w:eastAsia="Times New Roman" w:hAnsi="Times New Roman"/>
      <w:color w:val="000000"/>
      <w:sz w:val="24"/>
    </w:rPr>
  </w:style>
  <w:style w:styleId="FootnoteReference" w:type="character">
    <w:name w:val="Footnote Reference"/>
    <w:basedOn w:val="BodyTextChar"/>
    <w:rPr>
      <w:rFonts w:ascii="Times New Roman" w:eastAsia="Times New Roman" w:hAnsi="Times New Roman"/>
      <w:color w:val="000000"/>
      <w:sz w:val="24"/>
      <w:vertAlign w:val="superscript"/>
    </w:rPr>
  </w:style>
  <w:style w:styleId="Hyperlink" w:type="character">
    <w:name w:val="Hyperlink"/>
    <w:basedOn w:val="BodyTextChar"/>
    <w:rPr>
      <w:rFonts w:ascii="Times New Roman" w:eastAsia="Times New Roman" w:hAnsi="Times New Roman"/>
      <w:color w:val="000000"/>
      <w:sz w:val="24"/>
    </w:rPr>
  </w:style>
  <w:style w:styleId="TOCHeading" w:type="paragraph">
    <w:name w:val="TOC Heading"/>
    <w:basedOn w:val="Heading1"/>
    <w:next w:val="BodyText"/>
    <w:uiPriority w:val="39"/>
    <w:unhideWhenUsed/>
    <w:qFormat/>
    <w:pPr>
      <w:spacing w:before="240" w:line="276" w:lineRule="auto"/>
      <w:jc w:val="both"/>
      <w:outlineLvl w:val="9"/>
    </w:pPr>
    <w:rPr>
      <w:rFonts w:ascii="Times New Roman" w:asciiTheme="majorHAnsi" w:cstheme="majorBidi" w:eastAsia="Times New Roman" w:eastAsiaTheme="majorEastAsia" w:hAnsi="Times New Roman" w:hAnsiTheme="majorHAnsi"/>
      <w:b w:val="0"/>
      <w:bCs w:val="0"/>
      <w:color w:val="000000"/>
      <w:sz w:val="24"/>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44" Target="media/rId44.png" /><Relationship Type="http://schemas.openxmlformats.org/officeDocument/2006/relationships/image" Id="rId48" Target="media/rId48.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2026-06-25T18:37:21Z</dcterms:created>
  <dcterms:modified xsi:type="dcterms:W3CDTF">2026-06-25T18:37:21Z</dcterms:modified>
</cp:coreProperties>
</file>

<file path=docProps/custom.xml><?xml version="1.0" encoding="utf-8"?>
<Properties xmlns="http://schemas.openxmlformats.org/officeDocument/2006/custom-properties" xmlns:vt="http://schemas.openxmlformats.org/officeDocument/2006/docPropsVTypes"/>
</file>