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highlights"/>
    <w:p>
      <w:pPr>
        <w:pStyle w:val="Heading2"/>
      </w:pPr>
      <w:r>
        <w:t xml:space="preserve">Highlights</w:t>
      </w:r>
    </w:p>
    <w:p>
      <w:pPr>
        <w:numPr>
          <w:ilvl w:val="0"/>
          <w:numId w:val="1001"/>
        </w:numPr>
        <w:pStyle w:val="Compact"/>
      </w:pPr>
      <w:r>
        <w:t xml:space="preserve">Three-level meta-analysis of internationalization–performance: k = 238, 288 effects</w:t>
      </w:r>
    </w:p>
    <w:p>
      <w:pPr>
        <w:numPr>
          <w:ilvl w:val="0"/>
          <w:numId w:val="1001"/>
        </w:numPr>
        <w:pStyle w:val="Compact"/>
      </w:pPr>
      <w:r>
        <w:t xml:space="preserve">Baseline pooled effect is small but positive (r = 0.074, 95% CI [0.060, 0.088])</w:t>
      </w:r>
    </w:p>
    <w:p>
      <w:pPr>
        <w:numPr>
          <w:ilvl w:val="0"/>
          <w:numId w:val="1001"/>
        </w:numPr>
        <w:pStyle w:val="Compact"/>
      </w:pPr>
      <w:r>
        <w:t xml:space="preserve">ICRV institutional regime moderates the I–P relationship (Q_M = 17.35, p = .002)</w:t>
      </w:r>
    </w:p>
    <w:p>
      <w:pPr>
        <w:numPr>
          <w:ilvl w:val="0"/>
          <w:numId w:val="1001"/>
        </w:numPr>
        <w:pStyle w:val="Compact"/>
      </w:pPr>
      <w:r>
        <w:t xml:space="preserve">Digital adoption and lifecycle phase show no significant I–P moderation</w:t>
      </w:r>
    </w:p>
    <w:p>
      <w:pPr>
        <w:numPr>
          <w:ilvl w:val="0"/>
          <w:numId w:val="1001"/>
        </w:numPr>
        <w:pStyle w:val="Compact"/>
      </w:pPr>
      <w:r>
        <w:t xml:space="preserve">Trim-and-fill reveals publication bias, attenuating the effect to r = 0.035</w:t>
      </w:r>
    </w:p>
    <w:bookmarkEnd w:id="20"/>
    <w:bookmarkStart w:id="21" w:name="abstract"/>
    <w:p>
      <w:pPr>
        <w:pStyle w:val="Heading2"/>
      </w:pPr>
      <w:r>
        <w:t xml:space="preserve">Abstract</w:t>
      </w:r>
    </w:p>
    <w:p>
      <w:pPr>
        <w:pStyle w:val="FirstParagraph"/>
      </w:pP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 to P) relationship</w:t>
      </w:r>
      <w:r>
        <w:t xml:space="preserve"> </w:t>
      </w:r>
      <w:r>
        <w:t xml:space="preserve">three theoretically motivated moderators that prior meta-analyses have</w:t>
      </w:r>
      <w:r>
        <w:t xml:space="preserve"> </w:t>
      </w:r>
      <w:r>
        <w:t xml:space="preserve">not examined. 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t xml:space="preserve">This is the first three-level MARA of I to 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 to 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1"/>
    <w:bookmarkStart w:id="22"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2023).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 to 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 to 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 to 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 to 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 to P effect</w:t>
      </w:r>
      <w:r>
        <w:t xml:space="preserve"> </w:t>
      </w:r>
      <w:r>
        <w:t xml:space="preserve">sizes if digital platforms reshape internationalization economics. This</w:t>
      </w:r>
      <w:r>
        <w:t xml:space="preserve"> </w:t>
      </w:r>
      <w:r>
        <w:t xml:space="preserve">temporal moderator has never been systematically coded in I to 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 to 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 to P.</w:t>
      </w:r>
      <w:r>
        <w:t xml:space="preserve"> </w:t>
      </w:r>
      <w:r>
        <w:rPr>
          <w:iCs/>
          <w:i/>
        </w:rPr>
        <w:t xml:space="preserve">(Theoretical)</w:t>
      </w:r>
      <w:r>
        <w:t xml:space="preserve">: (4) First meta-analytic test of an ICRV 5-regime</w:t>
      </w:r>
      <w:r>
        <w:t xml:space="preserve"> </w:t>
      </w:r>
      <w:r>
        <w:t xml:space="preserve">framework applied to a globally representative I to 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 to 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 to 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2"/>
    <w:bookmarkStart w:id="29" w:name="Xce0b9068aa677089fdc23e66f61b75516af2bf7"/>
    <w:p>
      <w:pPr>
        <w:pStyle w:val="Heading2"/>
      </w:pPr>
      <w:r>
        <w:t xml:space="preserve">2. Theoretical Framework and Hypotheses</w:t>
      </w:r>
    </w:p>
    <w:bookmarkStart w:id="23"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 to 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 to 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 to 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 to 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 to 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 to 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 to 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 to 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 to P</w:t>
      </w:r>
      <w:r>
        <w:t xml:space="preserve"> </w:t>
      </w:r>
      <w:r>
        <w:t xml:space="preserve">effect across the studies that draw on it, a between-study moderation</w:t>
      </w:r>
      <w:r>
        <w:t xml:space="preserve"> </w:t>
      </w:r>
      <w:r>
        <w:t xml:space="preserve">claim, not a within-study mediation claim.</w:t>
      </w:r>
    </w:p>
    <w:bookmarkEnd w:id="23"/>
    <w:bookmarkStart w:id="24"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 to 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 to 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II–III to FR), these</w:t>
      </w:r>
      <w:r>
        <w:t xml:space="preserve"> </w:t>
      </w:r>
      <w:r>
        <w:t xml:space="preserve">substitute governance costs accumulate, progressively depressing the I to P</w:t>
      </w:r>
      <w:r>
        <w:t xml:space="preserve"> </w:t>
      </w:r>
      <w:r>
        <w:t xml:space="preserve">effect toward zero and potentially negative territory.</w:t>
      </w:r>
    </w:p>
    <w:p>
      <w:pPr>
        <w:pStyle w:val="BodyText"/>
      </w:pPr>
      <w:r>
        <w:t xml:space="preserve">CIMT predicts between-regime heterogeneity in I to 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 to 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 to 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 to 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4"/>
    <w:bookmarkStart w:id="25"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 to 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2"/>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 to 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2"/>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 to P effect sizes in this period should be</w:t>
      </w:r>
      <w:r>
        <w:t xml:space="preserve"> </w:t>
      </w:r>
      <w:r>
        <w:t xml:space="preserve">heterogeneous, producing intermediate pooled estimates.</w:t>
      </w:r>
    </w:p>
    <w:p>
      <w:pPr>
        <w:numPr>
          <w:ilvl w:val="0"/>
          <w:numId w:val="1002"/>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 to 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 to 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5"/>
    <w:bookmarkStart w:id="26"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 to 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 to 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 to 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 to 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 to 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 to P because B2B digital trade infrastructure had not yet achieved</w:t>
      </w:r>
      <w:r>
        <w:t xml:space="preserve"> </w:t>
      </w:r>
      <w:r>
        <w:t xml:space="preserve">critical mass regardless of country-level adoption scores.</w:t>
      </w:r>
    </w:p>
    <w:bookmarkEnd w:id="26"/>
    <w:bookmarkStart w:id="27"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 to 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 to 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 to P effect is not an artifact of</w:t>
      </w:r>
      <w:r>
        <w:t xml:space="preserve"> </w:t>
      </w:r>
      <w:r>
        <w:t xml:space="preserve">publication bias alone.</w:t>
      </w:r>
    </w:p>
    <w:bookmarkEnd w:id="27"/>
    <w:bookmarkStart w:id="28"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 to 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8"/>
    <w:bookmarkEnd w:id="29"/>
    <w:bookmarkStart w:id="40"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30"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 to 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10.17605/OSF.IO/Z37KN).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30"/>
    <w:bookmarkStart w:id="31"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1"/>
    <w:bookmarkStart w:id="35" w:name="X1d41e663e785934d4feadbd21b81f03c51339a8"/>
    <w:p>
      <w:pPr>
        <w:pStyle w:val="Heading3"/>
      </w:pPr>
      <w:r>
        <w:t xml:space="preserve">3.3 Data Extraction and Quality Assurance</w:t>
      </w:r>
    </w:p>
    <w:bookmarkStart w:id="32"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 to 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Section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Section 3.3.2.</w:t>
      </w:r>
    </w:p>
    <w:bookmarkEnd w:id="32"/>
    <w:bookmarkStart w:id="33"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Section 4.1); all targets were met prior to commencing coding of the remaining</w:t>
      </w:r>
      <w:r>
        <w:t xml:space="preserve"> </w:t>
      </w:r>
      <w:r>
        <w:t xml:space="preserve">80% of the corpus.</w:t>
      </w:r>
    </w:p>
    <w:bookmarkEnd w:id="33"/>
    <w:bookmarkStart w:id="34"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 to 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(Section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4"/>
    <w:bookmarkEnd w:id="35"/>
    <w:bookmarkStart w:id="36"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 to 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3"/>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3"/>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3"/>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3"/>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6"/>
    <w:bookmarkStart w:id="37"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7"/>
    <w:bookmarkStart w:id="38"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8"/>
    <w:bookmarkStart w:id="39"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4"/>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4"/>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4"/>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4"/>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4"/>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9"/>
    <w:bookmarkEnd w:id="40"/>
    <w:bookmarkStart w:id="48" w:name="X121719332867ee227f0a04b486098cee978c6e6"/>
    <w:p>
      <w:pPr>
        <w:pStyle w:val="Heading2"/>
      </w:pPr>
      <w:r>
        <w:t xml:space="preserve">4. Results</w:t>
      </w:r>
    </w:p>
    <w:bookmarkStart w:id="41"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1"/>
    <w:bookmarkStart w:id="42"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Section 4.3–4.5 do not</w:t>
      </w:r>
      <w:r>
        <w:t xml:space="preserve"> </w:t>
      </w:r>
      <w:r>
        <w:t xml:space="preserve">resolve this heterogeneity significantly.</w:t>
      </w:r>
    </w:p>
    <w:bookmarkEnd w:id="42"/>
    <w:bookmarkStart w:id="43"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 to 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 to 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3"/>
    <w:bookmarkStart w:id="44"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 to 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4"/>
    <w:bookmarkStart w:id="45"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 to 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5"/>
    <w:bookmarkStart w:id="46"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 to 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(Section 4.3–4.5), the publication bias evidence suggests that the</w:t>
      </w:r>
      <w:r>
        <w:t xml:space="preserve"> </w:t>
      </w:r>
      <w:r>
        <w:t xml:space="preserve">apparent average I to 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6"/>
    <w:bookmarkStart w:id="47"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7"/>
    <w:bookmarkEnd w:id="48"/>
    <w:bookmarkStart w:id="53" w:name="X735612638e4e736e4693e459c258977262c0dfc"/>
    <w:p>
      <w:pPr>
        <w:pStyle w:val="Heading2"/>
      </w:pPr>
      <w:r>
        <w:t xml:space="preserve">5. Discussion</w:t>
      </w:r>
    </w:p>
    <w:bookmarkStart w:id="49"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(Authors,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Authors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 to P effect; it instead reflects the</w:t>
      </w:r>
      <w:r>
        <w:t xml:space="preserve"> </w:t>
      </w:r>
      <w:r>
        <w:t xml:space="preserve">near-impossibility of drawing meta-analytic conclusions when only three</w:t>
      </w:r>
      <w:r>
        <w:t xml:space="preserve"> </w:t>
      </w:r>
      <w:r>
        <w:t xml:space="preserve">studies populate a regime cell. The actual Frontier I to 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 to 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 to 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9"/>
    <w:bookmarkStart w:id="50" w:name="X688563909f8febb75275ad832e560c448093230"/>
    <w:p>
      <w:pPr>
        <w:pStyle w:val="Heading3"/>
      </w:pPr>
      <w:r>
        <w:t xml:space="preserve">5.2 Theoretical Contributions</w:t>
      </w:r>
    </w:p>
    <w:p>
      <w:pPr>
        <w:pStyle w:val="FirstParagraph"/>
      </w:pPr>
      <w:r>
        <w:rPr>
          <w:bCs/>
          <w:b/>
        </w:rPr>
        <w:t xml:space="preserve">Contribution 1: Largest globally representative I to 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 to 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 to 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 to 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 to P to date, is the most</w:t>
      </w:r>
      <w:r>
        <w:t xml:space="preserve"> </w:t>
      </w:r>
      <w:r>
        <w:t xml:space="preserve">actionable theoretical contribution: it suggests that the IB</w:t>
      </w:r>
      <w:r>
        <w:t xml:space="preserve"> </w:t>
      </w:r>
      <w:r>
        <w:t xml:space="preserve">literature's widely cited "positive I to P relationship" is partially an</w:t>
      </w:r>
      <w:r>
        <w:t xml:space="preserve"> </w:t>
      </w:r>
      <w:r>
        <w:t xml:space="preserve">artifact of selective publication rather than a robust phenomenon.</w:t>
      </w:r>
    </w:p>
    <w:bookmarkEnd w:id="50"/>
    <w:bookmarkStart w:id="51"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 to 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 to 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1"/>
    <w:bookmarkStart w:id="52"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2"/>
    <w:bookmarkEnd w:id="53"/>
    <w:bookmarkStart w:id="54"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 to 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 to 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 to 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 to 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 to 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4"/>
    <w:bookmarkStart w:id="55"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5"/>
    <w:bookmarkStart w:id="56" w:name="competing-interests"/>
    <w:p>
      <w:pPr>
        <w:pStyle w:val="Heading2"/>
      </w:pPr>
      <w:r>
        <w:t xml:space="preserve">Competing Interests</w:t>
      </w:r>
    </w:p>
    <w:p>
      <w:pPr>
        <w:pStyle w:val="FirstParagraph"/>
      </w:pPr>
      <w:r>
        <w:t xml:space="preserve">The authors declare no conflict of interest.</w:t>
      </w:r>
    </w:p>
    <w:bookmarkEnd w:id="56"/>
    <w:bookmarkStart w:id="57"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7"/>
    <w:bookmarkStart w:id="58"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8"/>
    <w:bookmarkStart w:id="59" w:name="acknowledgements"/>
    <w:p>
      <w:pPr>
        <w:pStyle w:val="Heading2"/>
      </w:pPr>
      <w:r>
        <w:t xml:space="preserve">Acknowledgements</w:t>
      </w:r>
    </w:p>
    <w:p>
      <w:pPr>
        <w:pStyle w:val="FirstParagraph"/>
      </w:pPr>
      <w:r>
        <w:t xml:space="preserve">The authors thank the authors of the primary studies synthesised in this meta-analysis. Where World Bank Enterprise Survey data informed primary estimates, the original collectors, the authorised distributor, and the relevant funding agencies bear no responsibility for the use of the data or for interpretations based upon such uses.</w:t>
      </w:r>
    </w:p>
    <w:bookmarkEnd w:id="59"/>
    <w:bookmarkStart w:id="65"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p>
    <w:p>
      <w:pPr>
        <w:pStyle w:val="BodyText"/>
      </w:pPr>
      <w:r>
        <w:t xml:space="preserve">Authors. (2024, December). Details omitted for double-blind review.</w:t>
      </w:r>
    </w:p>
    <w:p>
      <w:pPr>
        <w:pStyle w:val="BodyText"/>
      </w:pPr>
      <w:r>
        <w:t xml:space="preserve">Authors. (2025). Details omitted for double-blind review.</w:t>
      </w:r>
      <w:r>
        <w:t xml:space="preserve"> </w:t>
      </w:r>
      <w:hyperlink r:id="rId60">
        <w:r>
          <w:rPr>
            <w:rStyle w:val="Hyperlink"/>
          </w:rPr>
          <w:t xml:space="preserve">https://doi.org/10.5772/intechopen.1011012</w:t>
        </w:r>
      </w:hyperlink>
    </w:p>
    <w:p>
      <w:pPr>
        <w:pStyle w:val="BodyText"/>
      </w:pPr>
      <w:r>
        <w:t xml:space="preserve">Dunning, J. H. (2000). The eclectic paradigm as an envelope for economic and business theories of MNE activity.</w:t>
      </w:r>
      <w:r>
        <w:t xml:space="preserve"> </w:t>
      </w:r>
      <w:r>
        <w:rPr>
          <w:iCs/>
          <w:i/>
        </w:rPr>
        <w:t xml:space="preserve">International Business Review, 9</w:t>
      </w:r>
      <w:r>
        <w:t xml:space="preserve">(1), 163–190.</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w:t>
      </w:r>
      <w:r>
        <w:t xml:space="preserve"> </w:t>
      </w:r>
      <w:hyperlink r:id="rId61">
        <w:r>
          <w:rPr>
            <w:rStyle w:val="Hyperlink"/>
          </w:rPr>
          <w:t xml:space="preserve">https://doi.org/10.1002/gsj.1479</w:t>
        </w:r>
      </w:hyperlink>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Perryman, A. A.,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2">
        <w:r>
          <w:rPr>
            <w:rStyle w:val="Hyperlink"/>
          </w:rPr>
          <w:t xml:space="preserve">https://doi.org/10.2307/20159604</w:t>
        </w:r>
      </w:hyperlink>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Rugman, A. M. (1976). Risk reduction by international diversification.</w:t>
      </w:r>
      <w:r>
        <w:t xml:space="preserve"> </w:t>
      </w:r>
      <w:r>
        <w:rPr>
          <w:iCs/>
          <w:i/>
        </w:rPr>
        <w:t xml:space="preserve">Journal of International Business Studies, 7</w:t>
      </w:r>
      <w:r>
        <w:t xml:space="preserve">(2), 75–80.</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Valentine, J. C., Pigott, T. D., &amp; Rothstein, H. R. (2010). How many studies do you need? A primer on statistical power for meta-analysis.</w:t>
      </w:r>
      <w:r>
        <w:t xml:space="preserve"> </w:t>
      </w:r>
      <w:r>
        <w:rPr>
          <w:iCs/>
          <w:i/>
        </w:rPr>
        <w:t xml:space="preserve">Journal of Educational and Behavioral Statistics, 35</w:t>
      </w:r>
      <w:r>
        <w:t xml:space="preserve">(2), 215–247.</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Vernon, R. (1971).</w:t>
      </w:r>
      <w:r>
        <w:t xml:space="preserve"> </w:t>
      </w:r>
      <w:r>
        <w:rPr>
          <w:iCs/>
          <w:i/>
        </w:rPr>
        <w:t xml:space="preserve">Sovereignty at bay: The multinational spread of U.S. enterprises</w:t>
      </w:r>
      <w:r>
        <w:t xml:space="preserve">. Basic Books.</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6"/>
    <w:bookmarkStart w:id="67"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7"/>
    <w:bookmarkStart w:id="68"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doi.org/10.1002/gsj.1479" TargetMode="External" /><Relationship Type="http://schemas.openxmlformats.org/officeDocument/2006/relationships/hyperlink" Id="rId63" Target="https://doi.org/10.1136/bmj.n71" TargetMode="External" /><Relationship Type="http://schemas.openxmlformats.org/officeDocument/2006/relationships/hyperlink" Id="rId62" Target="https://doi.org/10.2307/20159604" TargetMode="External" /><Relationship Type="http://schemas.openxmlformats.org/officeDocument/2006/relationships/hyperlink" Id="rId60" Target="https://doi.org/10.5772/intechopen.1011012" TargetMode="External" /><Relationship Type="http://schemas.openxmlformats.org/officeDocument/2006/relationships/hyperlink" Id="rId64"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gsj.1479" TargetMode="External" /><Relationship Type="http://schemas.openxmlformats.org/officeDocument/2006/relationships/hyperlink" Id="rId63" Target="https://doi.org/10.1136/bmj.n71" TargetMode="External" /><Relationship Type="http://schemas.openxmlformats.org/officeDocument/2006/relationships/hyperlink" Id="rId62" Target="https://doi.org/10.2307/20159604" TargetMode="External" /><Relationship Type="http://schemas.openxmlformats.org/officeDocument/2006/relationships/hyperlink" Id="rId60" Target="https://doi.org/10.5772/intechopen.1011012" TargetMode="External" /><Relationship Type="http://schemas.openxmlformats.org/officeDocument/2006/relationships/hyperlink" Id="rId64"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2026-06-20T23:41:51Z</dcterms:created>
  <dcterms:modified xsi:type="dcterms:W3CDTF">2026-06-20T23:41:51Z</dcterms:modified>
</cp:coreProperties>
</file>

<file path=docProps/custom.xml><?xml version="1.0" encoding="utf-8"?>
<Properties xmlns="http://schemas.openxmlformats.org/officeDocument/2006/custom-properties" xmlns:vt="http://schemas.openxmlformats.org/officeDocument/2006/docPropsVTypes"/>
</file>