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 to 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49.4 %)</w:t>
      </w:r>
      <w:r>
        <w:t xml:space="preserve"> </w:t>
      </w:r>
      <w:r>
        <w:t xml:space="preserve">and 2024 (turning point 47.2 %) waves, with overlapping 95 %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 = +0.82, p = .412; FSTS²</w:t>
      </w:r>
      <w:r>
        <w:t xml:space="preserve"> </w:t>
      </w:r>
      <w:r>
        <w:t xml:space="preserve">z = −0.61, p = 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 = 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48 %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 2 develops</w:t>
      </w:r>
      <w:r>
        <w:t xml:space="preserve"> </w:t>
      </w:r>
      <w:r>
        <w:t xml:space="preserve">the theoretical framework and hypotheses. Section 3 describes data,</w:t>
      </w:r>
      <w:r>
        <w:t xml:space="preserve"> </w:t>
      </w:r>
      <w:r>
        <w:t xml:space="preserve">variables, and methods. Section 4 presents results. Section 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40–60 %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"wave-specific"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Section 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Section 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 1, Table 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(49.4 % in 2012, 47.2 % in 2024, 48.8 %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(88.6 %).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(47.2 %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10 %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Section 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95 %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5.2 %, with 19.4 %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3.6 %, with 12.4 %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(63 %) and 1,920 firms in</w:t>
      </w:r>
      <w:r>
        <w:t xml:space="preserve"> </w:t>
      </w:r>
      <w:r>
        <w:t xml:space="preserve">2024 (99 %),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49.4 % (95 % CI: 43.1–55.7 %) in 2012 and</w:t>
      </w:r>
      <w:r>
        <w:t xml:space="preserve"> </w:t>
      </w:r>
      <w:r>
        <w:t xml:space="preserve">47.2 % (95 % CI: 40.8–53.6 %)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48.8 % (95 % CI:</w:t>
      </w:r>
      <w:r>
        <w:t xml:space="preserve"> </w:t>
      </w:r>
      <w:r>
        <w:t xml:space="preserve">44.2–53.4 %).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95 %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Delta-method 95 % confidence intervals for the</w:t>
      </w:r>
      <w:r>
        <w:t xml:space="preserve"> </w:t>
      </w:r>
      <w:r>
        <w:t xml:space="preserve">turning-point estimates in 2012 (49.4 %) and 2024 (47.2 %).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95 %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95 %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to lnLP relationship via a sequential</w:t>
      </w:r>
      <w:r>
        <w:t xml:space="preserve"> </w:t>
      </w:r>
      <w:r>
        <w:t xml:space="preserve">mediation path (TCI_full to DAI_core to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95 % CI [0.004, 0.039]; 2024: +0.022, 95 %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"descriptive mechanism sketch"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48.1 % (2012) and 46.4 %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47.9 % in 2012 and 45.7 %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44.8 % to 51.3 %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49.4 % (2012)</w:t>
      </w:r>
      <w:r>
        <w:t xml:space="preserve"> </w:t>
      </w:r>
      <w:r>
        <w:t xml:space="preserve">and 47.2 % (2024) are statistically indistinguishable by the Paternoster</w:t>
      </w:r>
      <w:r>
        <w:t xml:space="preserve"> </w:t>
      </w:r>
      <w:r>
        <w:t xml:space="preserve">test, and the pooled estimate (48.8 %)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48 %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"level-shifter":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 to 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(Section 4.5) suggests a partial mediation</w:t>
      </w:r>
      <w:r>
        <w:t xml:space="preserve"> </w:t>
      </w:r>
      <w:r>
        <w:t xml:space="preserve">pathway (TCI to DAI to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Five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(Section 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 Fifth, the durability inference rests on a failure to reject cross-wave coefficient equality (the Paternoster tests are non-significant) rather than on a formal equivalence test; non-rejection does not by itself establish stability. The inference is nonetheless supported by the near-identical point estimates (turning points of 49.4 and 47.2 per cent; linear coefficients of 0.94 and 1.03 across the two waves) and the very small test statistics, which indicate genuine consistency rather than a borderline, underpowered non-rejection. A two-one-sided-tests equivalence procedure on future multi-wave data would place the durability claim on firmer inferential ground.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(Authors,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(49.4 %</w:t>
      </w:r>
      <w:r>
        <w:t xml:space="preserve"> </w:t>
      </w:r>
      <w:r>
        <w:t xml:space="preserve">and 47.2 %)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The authors received no specific grant from any funding agency in the public, commercial, or not‑for‑profit sectors for the research, authorship, or publication of this article.</w:t>
      </w:r>
    </w:p>
    <w:bookmarkEnd w:id="47"/>
    <w:bookmarkStart w:id="4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8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9"/>
    <w:bookmarkStart w:id="50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0"/>
    <w:bookmarkStart w:id="51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 of interest.</w:t>
      </w:r>
    </w:p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 and Lalive, R. (2010), "On making causal claims: A review and recommendations",</w:t>
      </w:r>
      <w:r>
        <w:t xml:space="preserve"> </w:t>
      </w:r>
      <w:r>
        <w:rPr>
          <w:iCs/>
          <w:i/>
        </w:rPr>
        <w:t xml:space="preserve">The Leadership Quarterly</w:t>
      </w:r>
      <w:r>
        <w:t xml:space="preserve">, Vol. 21 No. 6, pp. 1086-1120, doi: 10.1016/j.leaqua.2010.10.010.</w:t>
      </w:r>
    </w:p>
    <w:p>
      <w:pPr>
        <w:pStyle w:val="BodyText"/>
      </w:pPr>
      <w:r>
        <w:t xml:space="preserve">Avenyo, E.K., Tregenna, F. and Kraemer-Mbula, E. (2021), "Do productive capabilities affect export performance? Evidence from African firms",</w:t>
      </w:r>
      <w:r>
        <w:t xml:space="preserve"> </w:t>
      </w:r>
      <w:r>
        <w:rPr>
          <w:iCs/>
          <w:i/>
        </w:rPr>
        <w:t xml:space="preserve">European Journal of Development Research</w:t>
      </w:r>
      <w:r>
        <w:t xml:space="preserve">, Vol. 33 No. 2, pp. 304-329, doi: 10.1057/s41287-021-00364-6.</w:t>
      </w:r>
    </w:p>
    <w:p>
      <w:pPr>
        <w:pStyle w:val="BodyText"/>
      </w:pPr>
      <w:r>
        <w:t xml:space="preserve">Bausch, A. and Krist, M. (2007), "The effect of context-related moderators on the internationalization–performance relationship: A meta-analysis",</w:t>
      </w:r>
      <w:r>
        <w:t xml:space="preserve"> </w:t>
      </w:r>
      <w:r>
        <w:rPr>
          <w:iCs/>
          <w:i/>
        </w:rPr>
        <w:t xml:space="preserve">Management International Review</w:t>
      </w:r>
      <w:r>
        <w:t xml:space="preserve">, Vol. 47 No. 3, pp. 423-452, doi: 10.1007/s11575-007-0022-4.</w:t>
      </w:r>
    </w:p>
    <w:p>
      <w:pPr>
        <w:pStyle w:val="BodyText"/>
      </w:pPr>
      <w:r>
        <w:t xml:space="preserve">Authors (2026), details omitted for double-blind review.</w:t>
      </w:r>
    </w:p>
    <w:p>
      <w:pPr>
        <w:pStyle w:val="BodyText"/>
      </w:pPr>
      <w:r>
        <w:t xml:space="preserve">Haans, R.F.J., Pieters, C. and He, Z.-L. (2016), "Thinking about U: Theorizing and testing U- and inverted U-shaped relationships in strategy research",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37 No. 7, pp. 1177-1195, doi: 10.1002/smj.2399.</w:t>
      </w:r>
    </w:p>
    <w:p>
      <w:pPr>
        <w:pStyle w:val="BodyText"/>
      </w:pPr>
      <w:r>
        <w:t xml:space="preserve">Helpman, E., Melitz, M.J. and Yeaple, S.R. (2004), "Export versus FDI with heterogeneous firms",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, Vol. 94 No. 1, pp. 300-316, doi: 10.1257/000282804322970814.</w:t>
      </w:r>
    </w:p>
    <w:p>
      <w:pPr>
        <w:pStyle w:val="BodyText"/>
      </w:pPr>
      <w:r>
        <w:t xml:space="preserve">Hitt, M.A., Hoskisson, R.E. and Kim, H. (1997), "International diversification: Effects on innovation and firm performance in product-diversified firms",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40 No. 4, pp. 767-798, doi: 10.5465/256948.</w:t>
      </w:r>
    </w:p>
    <w:p>
      <w:pPr>
        <w:pStyle w:val="BodyText"/>
      </w:pPr>
      <w:r>
        <w:t xml:space="preserve">Johanson, J. and Vahlne, J.-E. (1977), "The internationalization process of the firm: A model of knowledge development and increasing foreign market commitments",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8 No. 1, pp. 23-32, doi: 10.1057/palgrave.jibs.8490676.</w:t>
      </w:r>
    </w:p>
    <w:p>
      <w:pPr>
        <w:pStyle w:val="BodyText"/>
      </w:pPr>
      <w:r>
        <w:t xml:space="preserve">Kano, L., Tsang, E.W.K. and Yeung, H.W.-C. (2020), "Global value chains: A review of the multi-disciplinary literature",</w:t>
      </w:r>
      <w:r>
        <w:t xml:space="preserve"> </w:t>
      </w:r>
      <w:r>
        <w:rPr>
          <w:iCs/>
          <w:i/>
        </w:rPr>
        <w:t xml:space="preserve">Journal of International Business Studies</w:t>
      </w:r>
      <w:r>
        <w:t xml:space="preserve">, Vol. 51 No. 4, pp. 577-622, doi: 10.1057/s41267-020-00304-2.</w:t>
      </w:r>
    </w:p>
    <w:p>
      <w:pPr>
        <w:pStyle w:val="BodyText"/>
      </w:pPr>
      <w:r>
        <w:t xml:space="preserve">Kirca, A.H., Roth, K., Hult, G.T.M. and Cavusgil, S.T. (2012), "The role of context in the multinationality–performance relationship: A meta-analytic review",</w:t>
      </w:r>
      <w:r>
        <w:t xml:space="preserve"> </w:t>
      </w:r>
      <w:r>
        <w:rPr>
          <w:iCs/>
          <w:i/>
        </w:rPr>
        <w:t xml:space="preserve">Global Strategy Journal</w:t>
      </w:r>
      <w:r>
        <w:t xml:space="preserve">, Vol. 2 No. 2, pp. 108-121, doi: 10.1111/j.2042-5805.2012.01028.x.</w:t>
      </w:r>
    </w:p>
    <w:p>
      <w:pPr>
        <w:pStyle w:val="BodyText"/>
      </w:pPr>
      <w:r>
        <w:t xml:space="preserve">Lall, S. (1992), "Technological capabilities and industrialization",</w:t>
      </w:r>
      <w:r>
        <w:t xml:space="preserve"> </w:t>
      </w:r>
      <w:r>
        <w:rPr>
          <w:iCs/>
          <w:i/>
        </w:rPr>
        <w:t xml:space="preserve">World Development</w:t>
      </w:r>
      <w:r>
        <w:t xml:space="preserve">, Vol. 20 No. 2, pp. 165-186, doi: 10.1016/0305-750X(92)90097-F.</w:t>
      </w:r>
    </w:p>
    <w:p>
      <w:pPr>
        <w:pStyle w:val="BodyText"/>
      </w:pPr>
      <w:r>
        <w:t xml:space="preserve">Lind, J.T. and Mehlum, H. (2010), "With or without U? The appropriate test for a U-shaped relationship",</w:t>
      </w:r>
      <w:r>
        <w:t xml:space="preserve"> </w:t>
      </w:r>
      <w:r>
        <w:rPr>
          <w:iCs/>
          <w:i/>
        </w:rPr>
        <w:t xml:space="preserve">Oxford Bulletin of Economics and Statistics</w:t>
      </w:r>
      <w:r>
        <w:t xml:space="preserve">, Vol. 72 No. 1, pp. 109-118, doi: 10.1111/j.1468-0084.2009.00569.x.</w:t>
      </w:r>
    </w:p>
    <w:p>
      <w:pPr>
        <w:pStyle w:val="BodyText"/>
      </w:pPr>
      <w:r>
        <w:t xml:space="preserve">Lu, J.W. and Beamish, P.W. (2004), "International diversification and firm performance: The S-curve hypothesis",</w:t>
      </w:r>
      <w:r>
        <w:t xml:space="preserve"> </w:t>
      </w:r>
      <w:r>
        <w:rPr>
          <w:iCs/>
          <w:i/>
        </w:rPr>
        <w:t xml:space="preserve">Academy of Management Journal</w:t>
      </w:r>
      <w:r>
        <w:t xml:space="preserve">, Vol. 47 No. 4, pp. 598-609, doi: 10.5465/20159604.</w:t>
      </w:r>
    </w:p>
    <w:p>
      <w:pPr>
        <w:pStyle w:val="BodyText"/>
      </w:pPr>
      <w:r>
        <w:t xml:space="preserve">MacKinnon, J.G. and White, H. (1985), "Some heteroskedasticity-consistent covariance matrix estimators with improved finite sample properties",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Vol. 29 No. 3, pp. 305-325, doi: 10.1016/0304-4076(85)90158-7.</w:t>
      </w:r>
    </w:p>
    <w:p>
      <w:pPr>
        <w:pStyle w:val="BodyText"/>
      </w:pPr>
      <w:r>
        <w:t xml:space="preserve">Manova, K. (2013), "Credit constraints, heterogeneous firms, and international trade",</w:t>
      </w:r>
      <w:r>
        <w:t xml:space="preserve"> </w:t>
      </w:r>
      <w:r>
        <w:rPr>
          <w:iCs/>
          <w:i/>
        </w:rPr>
        <w:t xml:space="preserve">Review of Economic Studies</w:t>
      </w:r>
      <w:r>
        <w:t xml:space="preserve">, Vol. 80 No. 2, pp. 711-744, doi: 10.1093/restud/rds036.</w:t>
      </w:r>
    </w:p>
    <w:p>
      <w:pPr>
        <w:pStyle w:val="BodyText"/>
      </w:pPr>
      <w:r>
        <w:t xml:space="preserve">Marano, V., Arregle, J.-L., Hitt, M.A., Spadafora, E. and van Essen, M. (2016), "Home country institutions and the internationalization–performance relationship: A meta-analytic review",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42 No. 5, pp. 1075-1110, doi: 10.1177/0149206315624963.</w:t>
      </w:r>
    </w:p>
    <w:p>
      <w:pPr>
        <w:pStyle w:val="BodyText"/>
      </w:pPr>
      <w:r>
        <w:t xml:space="preserve">Nambisan, S., Wright, M. and Feldman, M. (2019), "The digital transformation of innovation and entrepreneurship: Progress, challenges and key themes",</w:t>
      </w:r>
      <w:r>
        <w:t xml:space="preserve"> </w:t>
      </w:r>
      <w:r>
        <w:rPr>
          <w:iCs/>
          <w:i/>
        </w:rPr>
        <w:t xml:space="preserve">Research Policy</w:t>
      </w:r>
      <w:r>
        <w:t xml:space="preserve">, Vol. 48 No. 8, pp. 103773, doi: 10.1016/j.respol.2019.03.018.</w:t>
      </w:r>
    </w:p>
    <w:p>
      <w:pPr>
        <w:pStyle w:val="BodyText"/>
      </w:pPr>
      <w:r>
        <w:t xml:space="preserve">Niepmann, F. and Schmidt-Eisenlohr, T. (2017), "International trade, risk and the role of banks",</w:t>
      </w:r>
      <w:r>
        <w:t xml:space="preserve"> </w:t>
      </w:r>
      <w:r>
        <w:rPr>
          <w:iCs/>
          <w:i/>
        </w:rPr>
        <w:t xml:space="preserve">Journal of International Economics</w:t>
      </w:r>
      <w:r>
        <w:t xml:space="preserve">, Vol. 107, pp. 111-126, doi: 10.1016/j.jinteco.2017.03.007.</w:t>
      </w:r>
    </w:p>
    <w:p>
      <w:pPr>
        <w:pStyle w:val="BodyText"/>
      </w:pPr>
      <w:r>
        <w:t xml:space="preserve">Paternoster, R., Brame, R., Mazerolle, P. and Piquero, A. (1998), "Using the correct statistical test for the equality of regression coefficients",</w:t>
      </w:r>
      <w:r>
        <w:t xml:space="preserve"> </w:t>
      </w:r>
      <w:r>
        <w:rPr>
          <w:iCs/>
          <w:i/>
        </w:rPr>
        <w:t xml:space="preserve">Criminology</w:t>
      </w:r>
      <w:r>
        <w:t xml:space="preserve">, Vol. 36 No. 4, pp. 859-866, doi: 10.1111/j.1745-9125.1998.tb01268.x.</w:t>
      </w:r>
    </w:p>
    <w:p>
      <w:pPr>
        <w:pStyle w:val="BodyText"/>
      </w:pPr>
      <w:r>
        <w:t xml:space="preserve">Pierce, J.R. and Aguinis, H. (2013), "The too-much-of-a-good-thing effect in management",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39 No. 2, pp. 313-338, doi: 10.1177/0149206311410060.</w:t>
      </w:r>
    </w:p>
    <w:p>
      <w:pPr>
        <w:pStyle w:val="BodyText"/>
      </w:pPr>
      <w:r>
        <w:t xml:space="preserve">Schwens, C., Zapkau, F.B., Bierwerth, M., Isidor, R., Knight, G. and Kabst, R. (2018), "International entrepreneurship: A meta-analysis on the internationalization and performance relationship",</w:t>
      </w:r>
      <w:r>
        <w:t xml:space="preserve"> </w:t>
      </w:r>
      <w:r>
        <w:rPr>
          <w:iCs/>
          <w:i/>
        </w:rPr>
        <w:t xml:space="preserve">Entrepreneurship Theory and Practice</w:t>
      </w:r>
      <w:r>
        <w:t xml:space="preserve">, Vol. 42 No. 5, pp. 734-768, doi: 10.1177/1042258718795346.</w:t>
      </w:r>
    </w:p>
    <w:p>
      <w:pPr>
        <w:pStyle w:val="BodyText"/>
      </w:pPr>
      <w:r>
        <w:t xml:space="preserve">Shaver, J.M. (2020), "Causal identification through a cumulative body of research in the study of strategy and organizations",</w:t>
      </w:r>
      <w:r>
        <w:t xml:space="preserve"> </w:t>
      </w:r>
      <w:r>
        <w:rPr>
          <w:iCs/>
          <w:i/>
        </w:rPr>
        <w:t xml:space="preserve">Journal of Management</w:t>
      </w:r>
      <w:r>
        <w:t xml:space="preserve">, Vol. 46 No. 7, pp. 1244-1256, doi: 10.1177/0149206319846272.</w:t>
      </w:r>
    </w:p>
    <w:p>
      <w:pPr>
        <w:pStyle w:val="BodyText"/>
      </w:pPr>
      <w:r>
        <w:t xml:space="preserve">Teece, D.J. (2007), "Explicating dynamic capabilities: The nature and microfoundations of (sustainable) enterprise performance",</w:t>
      </w:r>
      <w:r>
        <w:t xml:space="preserve"> </w:t>
      </w:r>
      <w:r>
        <w:rPr>
          <w:iCs/>
          <w:i/>
        </w:rPr>
        <w:t xml:space="preserve">Strategic Management Journal</w:t>
      </w:r>
      <w:r>
        <w:t xml:space="preserve">, Vol. 28 No. 13, pp. 1319-1350, doi: 10.1002/smj.640.</w:t>
      </w:r>
    </w:p>
    <w:p>
      <w:pPr>
        <w:pStyle w:val="BodyText"/>
      </w:pPr>
      <w:r>
        <w:t xml:space="preserve">Verhoef, P.C., Broekhuizen, T., Bart, Y., Bhattacharya, A., Dong, J.Q., Fabian, N. and Haenlein, M. (2021), "Digital transformation: A multidisciplinary reflection and research agenda",</w:t>
      </w:r>
      <w:r>
        <w:t xml:space="preserve"> </w:t>
      </w:r>
      <w:r>
        <w:rPr>
          <w:iCs/>
          <w:i/>
        </w:rPr>
        <w:t xml:space="preserve">Journal of Business Research</w:t>
      </w:r>
      <w:r>
        <w:t xml:space="preserve">, Vol. 122, pp. 889-901, doi: 10.1016/j.jbusres.2019.09.022.</w:t>
      </w:r>
    </w:p>
    <w:p>
      <w:pPr>
        <w:pStyle w:val="BodyText"/>
      </w:pPr>
      <w:r>
        <w:t xml:space="preserve">Vial, G. (2019), "Understanding digital transformation: A review and a research agenda",</w:t>
      </w:r>
      <w:r>
        <w:t xml:space="preserve"> </w:t>
      </w:r>
      <w:r>
        <w:rPr>
          <w:iCs/>
          <w:i/>
        </w:rPr>
        <w:t xml:space="preserve">The Journal of Strategic Information Systems</w:t>
      </w:r>
      <w:r>
        <w:t xml:space="preserve">, Vol. 28 No. 2, pp. 118-144, doi: 10.1016/j.jsis.2019.01.003.</w:t>
      </w:r>
    </w:p>
    <w:p>
      <w:pPr>
        <w:pStyle w:val="BodyText"/>
      </w:pPr>
      <w:r>
        <w:t xml:space="preserve">Volberda, H.W., Khanagha, S., Baden-Fuller, C., Mihalache, O.R. and Birkinshaw, J. (2021), "Strategizing in a digital world: Overcoming cognitive barriers, reconfiguring routines and introducing new organizational forms",</w:t>
      </w:r>
      <w:r>
        <w:t xml:space="preserve"> </w:t>
      </w:r>
      <w:r>
        <w:rPr>
          <w:iCs/>
          <w:i/>
        </w:rPr>
        <w:t xml:space="preserve">Long Range Planning</w:t>
      </w:r>
      <w:r>
        <w:t xml:space="preserve">, Vol. 54 No. 5, pp. 102110, doi: 10.1016/j.lrp.2021.102110.</w:t>
      </w:r>
    </w:p>
    <w:p>
      <w:pPr>
        <w:pStyle w:val="BodyText"/>
      </w:pPr>
      <w:r>
        <w:t xml:space="preserve">Wagner, J. (2007), "Exports and productivity: A survey of the evidence from firm-level data",</w:t>
      </w:r>
      <w:r>
        <w:t xml:space="preserve"> </w:t>
      </w:r>
      <w:r>
        <w:rPr>
          <w:iCs/>
          <w:i/>
        </w:rPr>
        <w:t xml:space="preserve">The World Economy</w:t>
      </w:r>
      <w:r>
        <w:t xml:space="preserve">, Vol. 30 No. 1, pp. 60-82, doi: 10.1111/j.1467-9701.2007.00872.x.</w:t>
      </w:r>
    </w:p>
    <w:p>
      <w:pPr>
        <w:pStyle w:val="BodyText"/>
      </w:pPr>
      <w:r>
        <w:t xml:space="preserve">World Bank (2013),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file], World Bank Enterprise Surveys, available at:</w:t>
      </w:r>
      <w:r>
        <w:t xml:space="preserve"> </w:t>
      </w:r>
      <w:hyperlink r:id="rId48">
        <w:r>
          <w:rPr>
            <w:rStyle w:val="Hyperlink"/>
          </w:rPr>
          <w:t xml:space="preserve">https://www.enterprisesurveys.org</w:t>
        </w:r>
      </w:hyperlink>
      <w:r>
        <w:t xml:space="preserve">.</w:t>
      </w:r>
    </w:p>
    <w:p>
      <w:pPr>
        <w:pStyle w:val="BodyText"/>
      </w:pPr>
      <w:r>
        <w:t xml:space="preserve">World Bank (2025),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file], World Bank Enterprise Surveys, available at:</w:t>
      </w:r>
      <w:r>
        <w:t xml:space="preserve"> </w:t>
      </w:r>
      <w:hyperlink r:id="rId48">
        <w:r>
          <w:rPr>
            <w:rStyle w:val="Hyperlink"/>
          </w:rPr>
          <w:t xml:space="preserve">https://www.enterprisesurveys.org</w:t>
        </w:r>
      </w:hyperlink>
      <w:r>
        <w:t xml:space="preserve">.</w:t>
      </w:r>
    </w:p>
    <w:p>
      <w:pPr>
        <w:pStyle w:val="BodyText"/>
      </w:pPr>
      <w:r>
        <w:t xml:space="preserve">Xiao, S.S., Jeong, I., Moon, J.J., Chung, C.C. and Chung, J. (2013), "Internationalization and performance of firms in China: Moderating effects of governance structure and the degree of centralized control",</w:t>
      </w:r>
      <w:r>
        <w:t xml:space="preserve"> </w:t>
      </w:r>
      <w:r>
        <w:rPr>
          <w:iCs/>
          <w:i/>
        </w:rPr>
        <w:t xml:space="preserve">Journal of International Management</w:t>
      </w:r>
      <w:r>
        <w:t xml:space="preserve">, Vol. 19 No. 2, pp. 118-137, doi: 10.1016/j.intman.2012.12.003.</w:t>
      </w:r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52"/>
    <w:bookmarkEnd w:id="53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8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48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2026-06-20T23:41:50Z</dcterms:created>
  <dcterms:modified xsi:type="dcterms:W3CDTF">2026-06-20T23:41:50Z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