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bookmarkStart w:id="20" w:name="highlights"/>
    <w:p>
      <w:pPr>
        <w:pStyle w:val="Heading2"/>
      </w:pPr>
      <w:r>
        <w:t xml:space="preserve">Highlights</w:t>
      </w:r>
    </w:p>
    <w:p>
      <w:pPr>
        <w:numPr>
          <w:ilvl w:val="0"/>
          <w:numId w:val="1001"/>
        </w:numPr>
        <w:pStyle w:val="Compact"/>
      </w:pPr>
      <w:r>
        <w:t xml:space="preserve">Inverted-U internationalization–performance across 50 Asia-Pacific economies</w:t>
      </w:r>
    </w:p>
    <w:p>
      <w:pPr>
        <w:numPr>
          <w:ilvl w:val="0"/>
          <w:numId w:val="1001"/>
        </w:numPr>
        <w:pStyle w:val="Compact"/>
      </w:pPr>
      <w:r>
        <w:t xml:space="preserve">88,869 firms across 103 country-year WBES waves (2003–2025), incl. Japan 2025</w:t>
      </w:r>
    </w:p>
    <w:p>
      <w:pPr>
        <w:numPr>
          <w:ilvl w:val="0"/>
          <w:numId w:val="1001"/>
        </w:numPr>
        <w:pStyle w:val="Compact"/>
      </w:pPr>
      <w:r>
        <w:t xml:space="preserve">Turning point at 43.6% of export sales after capability and digital controls</w:t>
      </w:r>
    </w:p>
    <w:p>
      <w:pPr>
        <w:numPr>
          <w:ilvl w:val="0"/>
          <w:numId w:val="1001"/>
        </w:numPr>
        <w:pStyle w:val="Compact"/>
      </w:pPr>
      <w:r>
        <w:t xml:space="preserve">Capability and digital adoption shift performance level, not the curve</w:t>
      </w:r>
    </w:p>
    <w:p>
      <w:pPr>
        <w:numPr>
          <w:ilvl w:val="0"/>
          <w:numId w:val="1001"/>
        </w:numPr>
        <w:pStyle w:val="Compact"/>
      </w:pPr>
      <w:r>
        <w:t xml:space="preserve">Institutional regime, not capability, governs the inverted-U's presence</w:t>
      </w:r>
    </w:p>
    <w:bookmarkEnd w:id="20"/>
    <w:bookmarkStart w:id="21"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2"/>
    <w:bookmarkStart w:id="30" w:name="Xce0b9068aa677089fdc23e66f61b75516af2bf7"/>
    <w:p>
      <w:pPr>
        <w:pStyle w:val="Heading2"/>
      </w:pPr>
      <w:r>
        <w:t xml:space="preserve">2. Theoretical Framework and Hypotheses</w:t>
      </w:r>
    </w:p>
    <w:bookmarkStart w:id="23"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and how home-country uncertainty conditions the internationalization–performance link (Cuervo-Cazurra, Ciravegna, Melgarejo, &amp; Lopez, 2018). Upper Echelons Theory (Hambrick &amp; Mason, 1984; Hambrick, 2007) emphasises that top management team attributes moderate how firms respond to strategic opportunities and constraints.</w:t>
      </w:r>
    </w:p>
    <w:bookmarkEnd w:id="23"/>
    <w:bookmarkStart w:id="24"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4"/>
    <w:bookmarkStart w:id="25"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5"/>
    <w:bookmarkStart w:id="26"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(Authors,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6"/>
    <w:bookmarkStart w:id="27"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7"/>
    <w:bookmarkStart w:id="28"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8"/>
    <w:bookmarkStart w:id="29"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9"/>
    <w:bookmarkEnd w:id="30"/>
    <w:bookmarkStart w:id="35" w:name="X5eb800a903106e48a684e9ea9de39ed619b9df8"/>
    <w:p>
      <w:pPr>
        <w:pStyle w:val="Heading2"/>
      </w:pPr>
      <w:r>
        <w:t xml:space="preserve">3. Data and Methods</w:t>
      </w:r>
    </w:p>
    <w:bookmarkStart w:id="31" w:name="X180323993af082d7b264d69830cacecf330a102"/>
    <w:p>
      <w:pPr>
        <w:pStyle w:val="Heading3"/>
      </w:pPr>
      <w:r>
        <w:t xml:space="preserve">3.1 Data Source</w:t>
      </w:r>
    </w:p>
    <w:p>
      <w:pPr>
        <w:pStyle w:val="FirstParagraph"/>
      </w:pPr>
      <w:r>
        <w:t xml:space="preserve">Data derive from the World Bank Enterprise Surveys (WBES; World Bank, 2025),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1"/>
    <w:bookmarkStart w:id="32"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internationally recognised quality certification (b8: has ISO or other certification) and foreign-technology adoption (e6: uses foreign-licensed technology),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2"/>
    <w:bookmarkStart w:id="33" w:name="X88d3b635b18ee197bee6ec760e4576787847be1"/>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 following standard practice for specifying and interpreting interaction effects in regression (Aiken &amp; West, 1991; Dawson, 2014).</w:t>
      </w:r>
    </w:p>
    <w:bookmarkEnd w:id="33"/>
    <w:bookmarkStart w:id="34" w:name="X7306ee6cc650c2a8c74023d786fd3b6ffa0ad4b"/>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4"/>
    <w:bookmarkEnd w:id="35"/>
    <w:bookmarkStart w:id="44" w:name="X121719332867ee227f0a04b486098cee978c6e6"/>
    <w:p>
      <w:pPr>
        <w:pStyle w:val="Heading2"/>
      </w:pPr>
      <w:r>
        <w:t xml:space="preserve">4. Results</w:t>
      </w:r>
    </w:p>
    <w:bookmarkStart w:id="36" w:name="X1a3b7383b8b125b3d271986dbdfbc78bb7f954a"/>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6"/>
    <w:bookmarkStart w:id="37" w:name="Xdbf83b4a83d0a9c63e43fc4d25cefed1772f7cd"/>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7"/>
    <w:bookmarkStart w:id="38" w:name="X9595a9bb339e08d65399a059096afa9ae72a457"/>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8"/>
    <w:bookmarkStart w:id="39" w:name="X151158cb9bb4ce58412a9381bb2aaa4f708d4d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 "digital shield" 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9"/>
    <w:bookmarkStart w:id="40" w:name="X8c2848f12d916aaecc7d070f2d4e848d015e61e"/>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(International Finance Corporation, 2022; Buchhave et al., 2026),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40"/>
    <w:bookmarkStart w:id="41" w:name="Xa3f0408b049fb96786efb222e5b901022bb2da2"/>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2"/>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2"/>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2"/>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1"/>
    <w:bookmarkStart w:id="42" w:name="X4660d5a54a4ef3782810124f5d081790225d7d9"/>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bookmarkEnd w:id="42"/>
    <w:bookmarkStart w:id="43" w:name="X2af0d68f10debd1ea837b0bca15c0e87c623ec4"/>
    <w:p>
      <w:pPr>
        <w:pStyle w:val="Heading3"/>
      </w:pPr>
      <w:r>
        <w:t xml:space="preserve">4.8 Robustness</w:t>
      </w:r>
    </w:p>
    <w:p>
      <w:pPr>
        <w:pStyle w:val="FirstParagraph"/>
      </w:pPr>
      <w:r>
        <w:t xml:space="preserve">Four supplementary checks bound the inference.</w:t>
      </w:r>
      <w:r>
        <w:t xml:space="preserve"> </w:t>
      </w:r>
      <w:r>
        <w:rPr>
          <w:iCs/>
          <w:i/>
        </w:rPr>
        <w:t xml:space="preserve">(i) Few-cluster inference.</w:t>
      </w:r>
      <w:r>
        <w:t xml:space="preserve"> </w:t>
      </w:r>
      <w:r>
        <w:t xml:space="preserve">Because the per-ICRV-group turning points rest on only 6–16 economies, cluster-robust (CRV1) standard errors can over-reject. A restricted wild-cluster bootstrap (Cameron, Gelbach, &amp; Miller, 2008; Rademacher weights, B = 9,999, clustered by economy) inflates the per-group curvature p-values: the sharp transition-regime inverted-U (Group IV, β₂ = −1.012) moves from p = 0.001 (CRV1) to p ≈ 0.10, while the emerging and SIDS groups remain non-significant. Formal non-linearity inference is therefore anchored at the pooled level (M2, 49 clusters, β₂ = −1.399, p &lt; .001) and triangulated with the companion meta-analysis, with the per-ICRV turning points read as a descriptive gradient rather than independently powered tests.</w:t>
      </w:r>
      <w:r>
        <w:t xml:space="preserve"> </w:t>
      </w:r>
      <w:r>
        <w:rPr>
          <w:iCs/>
          <w:i/>
        </w:rPr>
        <w:t xml:space="preserve">(ii) Multiple testing.</w:t>
      </w:r>
      <w:r>
        <w:t xml:space="preserve"> </w:t>
      </w:r>
      <w:r>
        <w:t xml:space="preserve">Holm and Bonferroni corrections applied to the four-term capability-interaction family (FSTS×TCI, FSTS²×TCI, FSTS×DAI, FSTS²×DAI) leave every term non-significant, so the capability-as-level-shifter conclusion is not a false negative produced by uncorrected testing.</w:t>
      </w:r>
      <w:r>
        <w:t xml:space="preserve"> </w:t>
      </w:r>
      <w:r>
        <w:rPr>
          <w:iCs/>
          <w:i/>
        </w:rPr>
        <w:t xml:space="preserve">(iii) Measurement invariance.</w:t>
      </w:r>
      <w:r>
        <w:t xml:space="preserve"> </w:t>
      </w:r>
      <w:r>
        <w:t xml:space="preserve">The Tier-1 DAI (website) and TCI component items are populated for ~99% of firms in all three WBES schema generations; the DAI mean rises monotonically (0.30 → 0.46 → 0.53), indicating genuine diffusion rather than a schema discontinuity, so cross-wave comparisons rest on item-comparable measures.</w:t>
      </w:r>
      <w:r>
        <w:t xml:space="preserve"> </w:t>
      </w:r>
      <w:r>
        <w:rPr>
          <w:iCs/>
          <w:i/>
        </w:rPr>
        <w:t xml:space="preserve">(iv) Selection into exporting.</w:t>
      </w:r>
      <w:r>
        <w:t xml:space="preserve"> </w:t>
      </w:r>
      <w:r>
        <w:t xml:space="preserve">Adding an inverse-Mills term from an export-participation probit to the controlled specification leaves the curvature and turning point essentially unchanged (43.6% → 43.5%; β₂ = −0.732, p &lt; .001) with a non-significant Mills ratio (p = 0.317), indicating no detectable Melitz-type selection bias in the estimated curvature. Full procedures and statistics are reported in the online supplement.</w:t>
      </w:r>
    </w:p>
    <w:p>
      <w:r>
        <w:pict>
          <v:rect style="width:0;height:1.5pt" o:hralign="center" o:hrstd="t" o:hr="t"/>
        </w:pict>
      </w:r>
    </w:p>
    <w:bookmarkEnd w:id="43"/>
    <w:bookmarkEnd w:id="44"/>
    <w:bookmarkStart w:id="50" w:name="X735612638e4e736e4693e459c258977262c0dfc"/>
    <w:p>
      <w:pPr>
        <w:pStyle w:val="Heading2"/>
      </w:pPr>
      <w:r>
        <w:t xml:space="preserve">5. Discussion</w:t>
      </w:r>
    </w:p>
    <w:bookmarkStart w:id="45" w:name="Xdb3d0d0ea2b17533512dc509acb289540c6f5bb"/>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5"/>
    <w:bookmarkStart w:id="46"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d4fb1bb7a799c1fc5adcff76c30e3f2326e6be3"/>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 "digital shield" 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7"/>
    <w:bookmarkStart w:id="48" w:name="X84f38018b3434e120970b4f2e30dde187cbc62e"/>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8"/>
    <w:bookmarkStart w:id="49" w:name="Xde7edcb3f604b7ff7a62d585547252a5b42f172"/>
    <w:p>
      <w:pPr>
        <w:pStyle w:val="Heading3"/>
      </w:pPr>
      <w:r>
        <w:t xml:space="preserve">5.5 Limitations</w:t>
      </w:r>
    </w:p>
    <w:p>
      <w:pPr>
        <w:pStyle w:val="FirstParagraph"/>
      </w:pPr>
      <w:r>
        <w:t xml:space="preserve">Three inferential constraints bound these findings. First, WBES is a cross-sectional design: "performance" throughout refers to a contemporaneous association between FSTS and labour productivity in a given survey year, not a panel-tracked causal effect. The instrumental-variable strategy used in the single-country P3 Vietnam study to address selection into exporting is not available at scale across 50 economies; the pooled inverse-Mills selection check (Section 4.8) indicates the estimated curvature is not driven by selection into exporting, but a panel-tracked causal design remains out of reach,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9"/>
    <w:bookmarkEnd w:id="50"/>
    <w:bookmarkStart w:id="51" w:name="X56025c6d9dbf7520f7a7df11f905cdd09f46e4a"/>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51"/>
    <w:bookmarkStart w:id="5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microdata for the Asian and Pacific economies analysed (including Japan 2025) data. The original collector of the data, the authorised distributor, and the relevant funding agency bear no responsibility for the use of the data or for interpretations or inferences based upon such uses.</w: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3"/>
    <w:bookmarkStart w:id="54"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54"/>
    <w:bookmarkStart w:id="56" w:name="data-availability"/>
    <w:p>
      <w:pPr>
        <w:pStyle w:val="Heading2"/>
      </w:pPr>
      <w:r>
        <w:t xml:space="preserve">Data availability</w:t>
      </w:r>
    </w:p>
    <w:p>
      <w:pPr>
        <w:pStyle w:val="FirstParagraph"/>
      </w:pPr>
      <w:r>
        <w:t xml:space="preserve">The World Bank Enterprise Survey (WBES) microdata for the Asian and Pacific economies analysed in this study (including Japan 2025) are publicly available at</w:t>
      </w:r>
      <w:r>
        <w:t xml:space="preserve"> </w:t>
      </w:r>
      <w:hyperlink r:id="rId55">
        <w:r>
          <w:rPr>
            <w:rStyle w:val="Hyperlink"/>
          </w:rPr>
          <w:t xml:space="preserve">https://www.enterprisesurveys.org</w:t>
        </w:r>
      </w:hyperlink>
      <w:r>
        <w:t xml:space="preserve"> </w:t>
      </w:r>
      <w:r>
        <w:t xml:space="preserve">subject to World Bank registration. Replication materials are available from the authors upon reasonable request, to the extent permitted by the WBES Data Access Protocol.</w:t>
      </w:r>
    </w:p>
    <w:bookmarkEnd w:id="56"/>
    <w:bookmarkStart w:id="57" w:name="Xa6ff8e54395812bd8a1d49fa16c25a1d6a46bbb"/>
    <w:p>
      <w:pPr>
        <w:pStyle w:val="Heading2"/>
      </w:pPr>
      <w:r>
        <w:t xml:space="preserve">Declaration of Generative AI in the Writing Process</w:t>
      </w:r>
    </w:p>
    <w:p>
      <w:pPr>
        <w:pStyle w:val="FirstParagraph"/>
      </w:pPr>
      <w:r>
        <w:t xml:space="preserve">During the preparation of this work the authors used generative AI tools to assist with language editing and formatting. The authors reviewed and edited the content as needed and take full responsibility for the content of the publication.</w:t>
      </w:r>
    </w:p>
    <w:bookmarkEnd w:id="57"/>
    <w:bookmarkStart w:id="81"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8">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9">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60">
        <w:r>
          <w:rPr>
            <w:rStyle w:val="Hyperlink"/>
          </w:rPr>
          <w:t xml:space="preserve">https://doi.org/10.1007/s11187-005-5599-z</w:t>
        </w:r>
      </w:hyperlink>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w:t>
      </w:r>
      <w:r>
        <w:t xml:space="preserve"> </w:t>
      </w:r>
      <w:hyperlink r:id="rId61">
        <w:r>
          <w:rPr>
            <w:rStyle w:val="Hyperlink"/>
          </w:rPr>
          <w:t xml:space="preserve">https://doi.org/10.1162/rest.90.3.414</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6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6">
        <w:r>
          <w:rPr>
            <w:rStyle w:val="Hyperlink"/>
          </w:rPr>
          <w:t xml:space="preserve">https://doi.org/10.1007/s10869-013-9308-7</w:t>
        </w:r>
      </w:hyperlink>
    </w:p>
    <w:p>
      <w:pPr>
        <w:pStyle w:val="BodyText"/>
      </w:pPr>
      <w:r>
        <w:t xml:space="preserve">Authors. (2024). Details omitted for double-blind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0">
        <w:r>
          <w:rPr>
            <w:rStyle w:val="Hyperlink"/>
          </w:rPr>
          <w:t xml:space="preserve">https://doi.org/10.5465/amr.1984.4277628</w:t>
        </w:r>
      </w:hyperlink>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7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7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6">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7">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8">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8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55">
        <w:r>
          <w:rPr>
            <w:rStyle w:val="Hyperlink"/>
          </w:rPr>
          <w:t xml:space="preserve">https://www.enterprisesurveys.org</w:t>
        </w:r>
      </w:hyperlink>
    </w:p>
    <w:p>
      <w:pPr>
        <w:pStyle w:val="BodyText"/>
      </w:pPr>
      <w:r>
        <w:t xml:space="preserve">World Bank. (2026, April).</w:t>
      </w:r>
      <w:r>
        <w:t xml:space="preserve"> </w:t>
      </w:r>
      <w:r>
        <w:rPr>
          <w:iCs/>
          <w:i/>
        </w:rPr>
        <w:t xml:space="preserve">Viet Nam macro monitoring: April 2026</w:t>
      </w:r>
      <w:r>
        <w:t xml:space="preserve">. World Bank Group, Fiscal Policy and Growth Viet Nam Team.</w:t>
      </w:r>
    </w:p>
    <w:p>
      <w:r>
        <w:pict>
          <v:rect style="width:0;height:1.5pt" o:hralign="center" o:hrstd="t" o:hr="t"/>
        </w:pict>
      </w:r>
    </w:p>
    <w:bookmarkEnd w:id="81"/>
    <w:bookmarkStart w:id="82"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(quality certification + foreign technology), z-scored within economy-year</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82"/>
    <w:bookmarkStart w:id="83"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3" Target="https://doi.org/10.1002/gsj.1028" TargetMode="External" /><Relationship Type="http://schemas.openxmlformats.org/officeDocument/2006/relationships/hyperlink" Id="rId78" Target="https://doi.org/10.1002/gsj.1336" TargetMode="External" /><Relationship Type="http://schemas.openxmlformats.org/officeDocument/2006/relationships/hyperlink" Id="rId68" Target="https://doi.org/10.1002/smj.2399" TargetMode="External" /><Relationship Type="http://schemas.openxmlformats.org/officeDocument/2006/relationships/hyperlink" Id="rId80" Target="https://doi.org/10.1002/smj.4250050207" TargetMode="External" /><Relationship Type="http://schemas.openxmlformats.org/officeDocument/2006/relationships/hyperlink" Id="rId66" Target="https://doi.org/10.1007/s10869-013-9308-7" TargetMode="External" /><Relationship Type="http://schemas.openxmlformats.org/officeDocument/2006/relationships/hyperlink" Id="rId60" Target="https://doi.org/10.1007/s11187-005-5599-z" TargetMode="External" /><Relationship Type="http://schemas.openxmlformats.org/officeDocument/2006/relationships/hyperlink" Id="rId59" Target="https://doi.org/10.1007/s11575-007-0019-z" TargetMode="External" /><Relationship Type="http://schemas.openxmlformats.org/officeDocument/2006/relationships/hyperlink" Id="rId79" Target="https://doi.org/10.1016/j.jbusres.2019.09.022" TargetMode="External" /><Relationship Type="http://schemas.openxmlformats.org/officeDocument/2006/relationships/hyperlink" Id="rId64" Target="https://doi.org/10.1016/j.jwb.2007.06.003" TargetMode="External" /><Relationship Type="http://schemas.openxmlformats.org/officeDocument/2006/relationships/hyperlink" Id="rId77" Target="https://doi.org/10.1016/j.jwb.2007.11.009" TargetMode="External" /><Relationship Type="http://schemas.openxmlformats.org/officeDocument/2006/relationships/hyperlink" Id="rId65" Target="https://doi.org/10.1016/j.jwb.2017.11.003" TargetMode="External" /><Relationship Type="http://schemas.openxmlformats.org/officeDocument/2006/relationships/hyperlink" Id="rId72" Target="https://doi.org/10.1057/jibs.2009.24" TargetMode="External" /><Relationship Type="http://schemas.openxmlformats.org/officeDocument/2006/relationships/hyperlink" Id="rId76" Target="https://doi.org/10.1057/jibs.2016.7" TargetMode="External" /><Relationship Type="http://schemas.openxmlformats.org/officeDocument/2006/relationships/hyperlink" Id="rId63" Target="https://doi.org/10.1057/palgrave.jibs.8400003" TargetMode="External" /><Relationship Type="http://schemas.openxmlformats.org/officeDocument/2006/relationships/hyperlink" Id="rId67" Target="https://doi.org/10.1057/palgrave.jibs.8490065" TargetMode="External" /><Relationship Type="http://schemas.openxmlformats.org/officeDocument/2006/relationships/hyperlink" Id="rId71" Target="https://doi.org/10.1057/palgrave.jibs.8490676" TargetMode="External" /><Relationship Type="http://schemas.openxmlformats.org/officeDocument/2006/relationships/hyperlink" Id="rId74" Target="https://doi.org/10.1111/j.1468-0084.2009.00569.x" TargetMode="External" /><Relationship Type="http://schemas.openxmlformats.org/officeDocument/2006/relationships/hyperlink" Id="rId61" Target="https://doi.org/10.1162/rest.90.3.414" TargetMode="External" /><Relationship Type="http://schemas.openxmlformats.org/officeDocument/2006/relationships/hyperlink" Id="rId58" Target="https://doi.org/10.1177/014920639101700108" TargetMode="External" /><Relationship Type="http://schemas.openxmlformats.org/officeDocument/2006/relationships/hyperlink" Id="rId75" Target="https://doi.org/10.2307/20159604" TargetMode="External" /><Relationship Type="http://schemas.openxmlformats.org/officeDocument/2006/relationships/hyperlink" Id="rId62" Target="https://doi.org/10.2307/2393553" TargetMode="External" /><Relationship Type="http://schemas.openxmlformats.org/officeDocument/2006/relationships/hyperlink" Id="rId70" Target="https://doi.org/10.5465/amr.1984.4277628" TargetMode="External" /><Relationship Type="http://schemas.openxmlformats.org/officeDocument/2006/relationships/hyperlink" Id="rId69" Target="https://doi.org/10.5465/amr.2007.24345254" TargetMode="External" /><Relationship Type="http://schemas.openxmlformats.org/officeDocument/2006/relationships/hyperlink" Id="rId55"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gsj.1028" TargetMode="External" /><Relationship Type="http://schemas.openxmlformats.org/officeDocument/2006/relationships/hyperlink" Id="rId78" Target="https://doi.org/10.1002/gsj.1336" TargetMode="External" /><Relationship Type="http://schemas.openxmlformats.org/officeDocument/2006/relationships/hyperlink" Id="rId68" Target="https://doi.org/10.1002/smj.2399" TargetMode="External" /><Relationship Type="http://schemas.openxmlformats.org/officeDocument/2006/relationships/hyperlink" Id="rId80" Target="https://doi.org/10.1002/smj.4250050207" TargetMode="External" /><Relationship Type="http://schemas.openxmlformats.org/officeDocument/2006/relationships/hyperlink" Id="rId66" Target="https://doi.org/10.1007/s10869-013-9308-7" TargetMode="External" /><Relationship Type="http://schemas.openxmlformats.org/officeDocument/2006/relationships/hyperlink" Id="rId60" Target="https://doi.org/10.1007/s11187-005-5599-z" TargetMode="External" /><Relationship Type="http://schemas.openxmlformats.org/officeDocument/2006/relationships/hyperlink" Id="rId59" Target="https://doi.org/10.1007/s11575-007-0019-z" TargetMode="External" /><Relationship Type="http://schemas.openxmlformats.org/officeDocument/2006/relationships/hyperlink" Id="rId79" Target="https://doi.org/10.1016/j.jbusres.2019.09.022" TargetMode="External" /><Relationship Type="http://schemas.openxmlformats.org/officeDocument/2006/relationships/hyperlink" Id="rId64" Target="https://doi.org/10.1016/j.jwb.2007.06.003" TargetMode="External" /><Relationship Type="http://schemas.openxmlformats.org/officeDocument/2006/relationships/hyperlink" Id="rId77" Target="https://doi.org/10.1016/j.jwb.2007.11.009" TargetMode="External" /><Relationship Type="http://schemas.openxmlformats.org/officeDocument/2006/relationships/hyperlink" Id="rId65" Target="https://doi.org/10.1016/j.jwb.2017.11.003" TargetMode="External" /><Relationship Type="http://schemas.openxmlformats.org/officeDocument/2006/relationships/hyperlink" Id="rId72" Target="https://doi.org/10.1057/jibs.2009.24" TargetMode="External" /><Relationship Type="http://schemas.openxmlformats.org/officeDocument/2006/relationships/hyperlink" Id="rId76" Target="https://doi.org/10.1057/jibs.2016.7" TargetMode="External" /><Relationship Type="http://schemas.openxmlformats.org/officeDocument/2006/relationships/hyperlink" Id="rId63" Target="https://doi.org/10.1057/palgrave.jibs.8400003" TargetMode="External" /><Relationship Type="http://schemas.openxmlformats.org/officeDocument/2006/relationships/hyperlink" Id="rId67" Target="https://doi.org/10.1057/palgrave.jibs.8490065" TargetMode="External" /><Relationship Type="http://schemas.openxmlformats.org/officeDocument/2006/relationships/hyperlink" Id="rId71" Target="https://doi.org/10.1057/palgrave.jibs.8490676" TargetMode="External" /><Relationship Type="http://schemas.openxmlformats.org/officeDocument/2006/relationships/hyperlink" Id="rId74" Target="https://doi.org/10.1111/j.1468-0084.2009.00569.x" TargetMode="External" /><Relationship Type="http://schemas.openxmlformats.org/officeDocument/2006/relationships/hyperlink" Id="rId61" Target="https://doi.org/10.1162/rest.90.3.414" TargetMode="External" /><Relationship Type="http://schemas.openxmlformats.org/officeDocument/2006/relationships/hyperlink" Id="rId58" Target="https://doi.org/10.1177/014920639101700108" TargetMode="External" /><Relationship Type="http://schemas.openxmlformats.org/officeDocument/2006/relationships/hyperlink" Id="rId75" Target="https://doi.org/10.2307/20159604" TargetMode="External" /><Relationship Type="http://schemas.openxmlformats.org/officeDocument/2006/relationships/hyperlink" Id="rId62" Target="https://doi.org/10.2307/2393553" TargetMode="External" /><Relationship Type="http://schemas.openxmlformats.org/officeDocument/2006/relationships/hyperlink" Id="rId70" Target="https://doi.org/10.5465/amr.1984.4277628" TargetMode="External" /><Relationship Type="http://schemas.openxmlformats.org/officeDocument/2006/relationships/hyperlink" Id="rId69" Target="https://doi.org/10.5465/amr.2007.24345254" TargetMode="External" /><Relationship Type="http://schemas.openxmlformats.org/officeDocument/2006/relationships/hyperlink" Id="rId55"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2026-06-20T23:41:51Z</dcterms:created>
  <dcterms:modified xsi:type="dcterms:W3CDTF">2026-06-20T23:41:51Z</dcterms:modified>
</cp:coreProperties>
</file>

<file path=docProps/custom.xml><?xml version="1.0" encoding="utf-8"?>
<Properties xmlns="http://schemas.openxmlformats.org/officeDocument/2006/custom-properties" xmlns:vt="http://schemas.openxmlformats.org/officeDocument/2006/docPropsVTypes"/>
</file>