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851d47967a07835e31e54cc2552648e271a088b"/>
    <w:p>
      <w:pPr>
        <w:pStyle w:val="Heading1"/>
      </w:pPr>
      <w:r>
        <w:t xml:space="preserve">Forced Internationalization Penalty: Firm Performance in Pacific Small Island Developing States</w:t>
      </w:r>
    </w:p>
    <w:p>
      <w:pPr>
        <w:pStyle w:val="BlockText"/>
      </w:pPr>
      <w:r>
        <w:t xml:space="preserve">⚠️</w:t>
      </w:r>
      <w:r>
        <w:t xml:space="preserve"> </w:t>
      </w:r>
      <w:r>
        <w:rPr>
          <w:bCs/>
          <w:b/>
        </w:rPr>
        <w:t xml:space="preserve">SUPERSEDED (2026-06-19).</w:t>
      </w:r>
      <w:r>
        <w:t xml:space="preserve"> </w:t>
      </w:r>
      <w:r>
        <w:t xml:space="preserve">This draft presents a strong, robust Forced Internationalization Penalty (β=−1.339) on a Timor-inclusive / restricted SIDS sample. It is superseded by the redesigned manuscript in</w:t>
      </w:r>
      <w:r>
        <w:t xml:space="preserve"> </w:t>
      </w:r>
      <w:r>
        <w:rPr>
          <w:rStyle w:val="VerbatimChar"/>
        </w:rPr>
        <w:t xml:space="preserve">p8/submission/world_development_redesign/</w:t>
      </w:r>
      <w:r>
        <w:t xml:space="preserve"> </w:t>
      </w:r>
      <w:r>
        <w:t xml:space="preserve">("When the Inverted-U Dissolves"), which uses the 7 genuine Pacific SIDS (Timor-Leste excluded per WB/UN), frames dissolution as the robust finding, and treats FIP as a theoretical limiting case. Do not submit this version.</w:t>
      </w:r>
    </w:p>
    <w:p>
      <w:pPr>
        <w:pStyle w:val="FirstParagraph"/>
      </w:pPr>
      <w:r>
        <w:rPr>
          <w:bCs/>
          <w:b/>
        </w:rPr>
        <w:t xml:space="preserve">Keywords</w:t>
      </w:r>
      <w:r>
        <w:t xml:space="preserve">: internationalization–performance relationship; small</w:t>
      </w:r>
      <w:r>
        <w:t xml:space="preserve"> </w:t>
      </w:r>
      <w:r>
        <w:t xml:space="preserve">island developing states; forced internationalization; institutional voids; Pacific economies; labor productivity</w:t>
      </w:r>
    </w:p>
    <w:bookmarkStart w:id="20" w:name="highlights"/>
    <w:p>
      <w:pPr>
        <w:pStyle w:val="Heading2"/>
      </w:pPr>
      <w:r>
        <w:t xml:space="preserve">Highlights</w:t>
      </w:r>
    </w:p>
    <w:p>
      <w:pPr>
        <w:numPr>
          <w:ilvl w:val="0"/>
          <w:numId w:val="1001"/>
        </w:numPr>
        <w:pStyle w:val="Compact"/>
      </w:pPr>
      <w:r>
        <w:t xml:space="preserve">The canonical inverted-U dissolves in Pacific small island developing states</w:t>
      </w:r>
    </w:p>
    <w:p>
      <w:pPr>
        <w:numPr>
          <w:ilvl w:val="0"/>
          <w:numId w:val="1001"/>
        </w:numPr>
        <w:pStyle w:val="Compact"/>
      </w:pPr>
      <w:r>
        <w:t xml:space="preserve">Export-intensity slope is indistinguishable from zero (bootstrap p = .66)</w:t>
      </w:r>
    </w:p>
    <w:p>
      <w:pPr>
        <w:numPr>
          <w:ilvl w:val="0"/>
          <w:numId w:val="1001"/>
        </w:numPr>
        <w:pStyle w:val="Compact"/>
      </w:pPr>
      <w:r>
        <w:t xml:space="preserve">Curvature is marginally positive, not concave, hinting at convexity</w:t>
      </w:r>
    </w:p>
    <w:p>
      <w:pPr>
        <w:numPr>
          <w:ilvl w:val="0"/>
          <w:numId w:val="1001"/>
        </w:numPr>
        <w:pStyle w:val="Compact"/>
      </w:pPr>
      <w:r>
        <w:t xml:space="preserve">Technological capability raises productivity but does not restore the inverted-U</w:t>
      </w:r>
    </w:p>
    <w:p>
      <w:pPr>
        <w:numPr>
          <w:ilvl w:val="0"/>
          <w:numId w:val="1001"/>
        </w:numPr>
        <w:pStyle w:val="Compact"/>
      </w:pPr>
      <w:r>
        <w:t xml:space="preserve">Forced Internationalization Penalty bounds the inverted-U paradigm's scope</w:t>
      </w:r>
    </w:p>
    <w:bookmarkEnd w:id="20"/>
    <w:bookmarkStart w:id="21"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959 firms across seven Pacific SIDS economies (2009–2025), we find that internationalization intensity is negatively associated with labor productivity (β = −1.339, p &lt; .001 in the country-and-year fixed-effects specification; β = −3.351, p &lt; .001 without country fixed effects; estimation N = 209 complete cases, from the full analysis sample of N = 959), with no significant quadratic curvature. We are explicit, however, that this estimate rests on the three SIDS economies with complete pre-2018 control data and is sensitive to the data version and to the small number of island economies with complete firm-level data (see Limitations); the result is therefore best read as exploratory evidence for a theoretical boundary condition rather than a robustly estimated effect. Neither technological capability nor digital adoption moderates the negative export–performance slope in the SIDS environment, although technological capability does raise the overall productivity level,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bookmarkEnd w:id="21"/>
    <w:bookmarkStart w:id="22"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959 firms across seven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bookmarkEnd w:id="22"/>
    <w:bookmarkStart w:id="27" w:name="X88086f89d30295b73ade34a6a6d72f6030bebeb"/>
    <w:p>
      <w:pPr>
        <w:pStyle w:val="Heading2"/>
      </w:pPr>
      <w:r>
        <w:t xml:space="preserve">2. Theoretical Background and Hypotheses</w:t>
      </w:r>
    </w:p>
    <w:bookmarkStart w:id="23"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3"/>
    <w:bookmarkStart w:id="24"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 FIP is a microeconomic, firm-level construct: it identifies the performance mechanism through which macro-structural vulnerability translates into firm-level outcomes.</w:t>
      </w:r>
    </w:p>
    <w:bookmarkEnd w:id="24"/>
    <w:bookmarkStart w:id="25"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 significant quadratic turning point, indicating Forced Internationalization Penalty rather than an inverted-U relationship.</w:t>
      </w:r>
    </w:p>
    <w:bookmarkEnd w:id="25"/>
    <w:bookmarkStart w:id="26"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bookmarkEnd w:id="26"/>
    <w:bookmarkEnd w:id="27"/>
    <w:bookmarkStart w:id="31" w:name="X5eb800a903106e48a684e9ea9de39ed619b9df8"/>
    <w:p>
      <w:pPr>
        <w:pStyle w:val="Heading2"/>
      </w:pPr>
      <w:r>
        <w:t xml:space="preserve">3. Data and Methods</w:t>
      </w:r>
    </w:p>
    <w:bookmarkStart w:id="28"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20–99,100+ employees) and sectors (manufacturing, services, retail). We include all firm-year observations from economies meeting the SIDS classification: Fiji, Kiribati, Papua New Guinea, Samoa, Solomon Islands, Tonga, and Vanuatu (seven economies). The analysis sample, observations with non-missing values for labor productivity, export intensity, and firm age, comprises</w:t>
      </w:r>
      <w:r>
        <w:t xml:space="preserve"> </w:t>
      </w:r>
      <w:r>
        <w:rPr>
          <w:bCs/>
          <w:b/>
        </w:rPr>
        <w:t xml:space="preserve">959 firms</w:t>
      </w:r>
      <w:r>
        <w:t xml:space="preserve"> </w:t>
      </w:r>
      <w:r>
        <w:t xml:space="preserve">across multiple country-year waves.</w:t>
      </w:r>
    </w:p>
    <w:bookmarkEnd w:id="28"/>
    <w:bookmarkStart w:id="29"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 in constant purchasing-power-parity-adjusted USD: ln(d2/l1). This measure has been used extensively in enterprise-level productivity studies (Goedhuys &amp; Sleuwaegen, 2013; World Bank, 2020). Of the 959 analysis observations, 132 (13.8%)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 Sales to Total Sales) from WBES items d3b + d3c (percentage of sales from indirect plus direct exports), divided by 100. For the main models, FSTS is mean-centered at the wave level: FSTS_c = FSTS − mean_wave(FSTS), yielding a mean FSTS of 0.048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 b8 (internationally recognized quality certification, binary) and e6 (licensing of foreign technology, binary). TCI_z is the z-standardized mean of these two indicators, treated as a formative composite (Diamantopoulos &amp; Winklhofer, 2001; Jarvis, MacKenzie, &amp; Podsakoff, 2003).</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d3b + d3c</w:t>
            </w:r>
          </w:p>
        </w:tc>
        <w:tc>
          <w:tcPr/>
          <w:p>
            <w:pPr>
              <w:pStyle w:val="Compact"/>
              <w:jc w:val="left"/>
            </w:pPr>
            <w:r>
              <w:t xml:space="preserve">(d3b + 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d3b + 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d3b + 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(7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9"/>
    <w:bookmarkStart w:id="30"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bookmarkEnd w:id="30"/>
    <w:bookmarkEnd w:id="31"/>
    <w:bookmarkStart w:id="38" w:name="X121719332867ee227f0a04b486098cee978c6e6"/>
    <w:p>
      <w:pPr>
        <w:pStyle w:val="Heading2"/>
      </w:pPr>
      <w:r>
        <w:t xml:space="preserve">4. Results</w:t>
      </w:r>
    </w:p>
    <w:bookmarkStart w:id="32" w:name="Xf031df31c5b8141c05fcebab78842231a9e024a"/>
    <w:p>
      <w:pPr>
        <w:pStyle w:val="Heading3"/>
      </w:pPr>
      <w:r>
        <w:t xml:space="preserve">4.1 Sample Description and Preliminary Evidence</w:t>
      </w:r>
    </w:p>
    <w:p>
      <w:pPr>
        <w:pStyle w:val="FirstParagraph"/>
      </w:pPr>
      <w:r>
        <w:t xml:space="preserve">The analysis sample spans 959 firms across seven Pacific SIDS economies. Table 1 reports country-level summary statistics. Exporter representation is thin across all economies (overall 13.8%), consistent with the SIDS structural constraint: most firms operate predominantly in the domestic market despite its limitations. Mean FSTS across the full sample is 0.048, reflecting the low-but-non-zero export engagement of SIDS firms. The country fixed effects absorb substantial variance: R² increases from 0.109 (year FE only) to 0.657 (country + year FE) when country indicators are added, confirming that roughly 83% of explained productivity variance is between-country, a feature consistent with extreme between-country heterogeneity in institutional quality, geographic remoteness, and economic structure.</w:t>
      </w:r>
    </w:p>
    <w:bookmarkEnd w:id="32"/>
    <w:bookmarkStart w:id="33"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r>
        <w:t xml:space="preserve"> </w:t>
      </w:r>
      <w:r>
        <w:t xml:space="preserve">(estimation N = 209 complete cases; full analysis sample N = 959)</w:t>
      </w:r>
    </w:p>
    <w:p>
      <w:pPr>
        <w:pStyle w:val="BodyText"/>
      </w:pPr>
      <w:r>
        <w:t xml:space="preserve">This coefficient is statistically significant at the conventional 5% level and substantively meaningful: a one-unit increase in FSTS is associated with markedly lower labor productivity (a large negative log-point shift; given the thin, low-FSTS support this should be read as directional rather than a precise point elasticity).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0.6567; adding FSTS_c in M1 increases R² to 0.6666,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+0.014, p = .020); foreign ownership shows a negative but non-significant association (β = −0.426, p = .315); firm size is essentially nil (β = +0.002, p = .983).</w:t>
      </w:r>
    </w:p>
    <w:bookmarkEnd w:id="33"/>
    <w:bookmarkStart w:id="34"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 is any inverted-U pattern with the positive portion below our data range.</w:t>
      </w:r>
    </w:p>
    <w:p>
      <w:pPr>
        <w:pStyle w:val="BodyText"/>
      </w:pPr>
      <w:r>
        <w:t xml:space="preserve">The results are: β(FSTS_c) = −2.177, SE = 1.603, p = .176 (n.s.) β(FSTS_c²) = +1.125, SE = 1.943, p = .563 (n.s.)</w:t>
      </w:r>
    </w:p>
    <w:p>
      <w:pPr>
        <w:pStyle w:val="BodyText"/>
      </w:pPr>
      <w:r>
        <w:t xml:space="preserve">Both the linear and quadratic terms lose significance when entered jointly, indicating high collinearity between the two terms in this low-FSTS sample (mean FSTS = 0.048).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2"/>
        </w:numPr>
        <w:pStyle w:val="Compact"/>
      </w:pPr>
      <w:r>
        <w:rPr>
          <w:bCs/>
          <w:b/>
        </w:rPr>
        <w:t xml:space="preserve">C1</w:t>
      </w:r>
      <w:r>
        <w:t xml:space="preserve"> </w:t>
      </w:r>
      <w:r>
        <w:t xml:space="preserve">(positive slope at low FSTS): β(FSTS_c) = −2.177 (</w:t>
      </w:r>
      <w:r>
        <w:rPr>
          <w:iCs/>
          <w:i/>
        </w:rPr>
        <w:t xml:space="preserve">p</w:t>
      </w:r>
      <w:r>
        <w:t xml:space="preserve"> </w:t>
      </w:r>
      <w:r>
        <w:t xml:space="preserve">= .176)</w:t>
      </w:r>
      <w:r>
        <w:t xml:space="preserve"> </w:t>
      </w:r>
      <w:r>
        <w:rPr>
          <w:bCs/>
          <w:b/>
        </w:rPr>
        <w:t xml:space="preserve">not significant and negative in sign</w:t>
      </w:r>
      <w:r>
        <w:t xml:space="preserve">; no ascending limb at low FSTS values</w:t>
      </w:r>
    </w:p>
    <w:p>
      <w:pPr>
        <w:numPr>
          <w:ilvl w:val="0"/>
          <w:numId w:val="1002"/>
        </w:numPr>
        <w:pStyle w:val="Compact"/>
      </w:pPr>
      <w:r>
        <w:rPr>
          <w:bCs/>
          <w:b/>
        </w:rPr>
        <w:t xml:space="preserve">C2</w:t>
      </w:r>
      <w:r>
        <w:t xml:space="preserve"> </w:t>
      </w:r>
      <w:r>
        <w:t xml:space="preserve">(negative curvature β₂ &lt; 0): β(FSTS_c²) = +1.125 (</w:t>
      </w:r>
      <w:r>
        <w:rPr>
          <w:iCs/>
          <w:i/>
        </w:rPr>
        <w:t xml:space="preserve">p</w:t>
      </w:r>
      <w:r>
        <w:t xml:space="preserve"> </w:t>
      </w:r>
      <w:r>
        <w:t xml:space="preserve">= .563),</w:t>
      </w:r>
      <w:r>
        <w:t xml:space="preserve"> </w:t>
      </w:r>
      <w:r>
        <w:rPr>
          <w:bCs/>
          <w:b/>
        </w:rPr>
        <w:t xml:space="preserve">not significant; positive sign indicates U-shape, not inverted-U</w:t>
      </w:r>
    </w:p>
    <w:p>
      <w:pPr>
        <w:numPr>
          <w:ilvl w:val="0"/>
          <w:numId w:val="1002"/>
        </w:numPr>
        <w:pStyle w:val="Compact"/>
      </w:pPr>
      <w:r>
        <w:rPr>
          <w:bCs/>
          <w:b/>
        </w:rPr>
        <w:t xml:space="preserve">C3</w:t>
      </w:r>
      <w:r>
        <w:t xml:space="preserve"> </w:t>
      </w:r>
      <w:r>
        <w:t xml:space="preserve">(turning point within data range): TP* = −(−2.177) / (2 ×</w:t>
      </w:r>
      <w:r>
        <w:t xml:space="preserve"> </w:t>
      </w:r>
      <w:r>
        <w:t xml:space="preserve">1.125) = 0.968,</w:t>
      </w:r>
      <w:r>
        <w:t xml:space="preserve"> </w:t>
      </w:r>
      <w:r>
        <w:rPr>
          <w:bCs/>
          <w:b/>
        </w:rPr>
        <w:t xml:space="preserve">implied turning point lies outside the observed</w:t>
      </w:r>
      <w:r>
        <w:rPr>
          <w:bCs/>
          <w:b/>
        </w:rPr>
        <w:t xml:space="preserve"> </w:t>
      </w:r>
      <w:r>
        <w:rPr>
          <w:bCs/>
          <w:b/>
        </w:rPr>
        <w:t xml:space="preserve">sample maximum (FSTS_max ≈ 1.0, but neither β₁ nor β₂ is statistically significant)</w:t>
      </w:r>
    </w:p>
    <w:p>
      <w:pPr>
        <w:numPr>
          <w:ilvl w:val="0"/>
          <w:numId w:val="1002"/>
        </w:numPr>
        <w:pStyle w:val="Compact"/>
      </w:pPr>
      <w:r>
        <w:rPr>
          <w:bCs/>
          <w:b/>
        </w:rPr>
        <w:t xml:space="preserve">C4</w:t>
      </w:r>
      <w:r>
        <w:t xml:space="preserve"> </w:t>
      </w:r>
      <w:r>
        <w:t xml:space="preserve">(Lind–Mehlum utest, Lind &amp; Mehlum, 2010): the test</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4"/>
    <w:bookmarkStart w:id="35"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 yields a substantially larger negative effect:</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The monotone negative pattern persists without conditioning on firm characteristics, though it is only marginally significant in the unconditional specification (p = .050).</w:t>
      </w:r>
    </w:p>
    <w:p>
      <w:pPr>
        <w:pStyle w:val="BodyText"/>
      </w:pPr>
      <w:r>
        <w:rPr>
          <w:bCs/>
          <w:b/>
        </w:rPr>
        <w:t xml:space="preserve">Exporters-only subsample</w:t>
      </w:r>
      <w:r>
        <w:t xml:space="preserve"> </w:t>
      </w:r>
      <w:r>
        <w:t xml:space="preserve">(132 exporters): Among active exporters</w:t>
      </w:r>
      <w:r>
        <w:t xml:space="preserve"> </w:t>
      </w:r>
      <w:r>
        <w:t xml:space="preserve">(FSTS &gt; 0), the negative effect is:</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The exporter subsample with complete controls is very small (N = 26), so this specification is underpowered and the coefficient is not significant; the result is directionally consistent with FIP but cannot, on its own, rule out selection. The fixed-effects evidence (M1, M_yearFE) provides the stronger basis for the FIP inference.</w:t>
      </w:r>
    </w:p>
    <w:p>
      <w:pPr>
        <w:pStyle w:val="BodyText"/>
      </w:pPr>
      <w:r>
        <w:rPr>
          <w:bCs/>
          <w:b/>
        </w:rPr>
        <w:t xml:space="preserve">Sample-restriction and exclusion robustness.</w:t>
      </w:r>
      <w:r>
        <w:t xml:space="preserve"> </w:t>
      </w:r>
      <w:r>
        <w:t xml:space="preserve">Two checks confirm that the FIP estimate is not an artefact of the complete-case sample or of the seven-economy definition. First, the N = 209 estimation sample for the fully controlled model arises almost entirely from missingness on the foreign-ownership control (non-missing for only 22 per cent of firms); re-estimating M1 with country and year fixed effects but without that control recovers the full analysis sample and preserves the result (β(FSTS_c) = −0.835, p = .010, N = 950; with no controls, β = −0.769, p = .015, N = 959). The retained and dropped subsamples have near-identical mean FSTS (0.046 versus 0.049), indicating the restriction is not selected on the focal variable. Second, the penalty is present beyond the Pacific definition: estimated on the full nine-economy small-island pool that additionally includes Comoros and Timor-Leste, it remains negative and significant (β(FSTS_c) = −0.510, p = .008, N = 1,469). The seven-economy restriction therefore strengthens, but does not create, the estimate.</w:t>
      </w:r>
    </w:p>
    <w:bookmarkEnd w:id="35"/>
    <w:bookmarkStart w:id="36"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Technological capability is positively and significantly associated with productivity, whereas digital adoption is not:</w:t>
      </w:r>
    </w:p>
    <w:p>
      <w:pPr>
        <w:pStyle w:val="BodyText"/>
      </w:pPr>
      <w:r>
        <w:t xml:space="preserve">β(TCI_z) = +0.299, SE = 0.099, p = .003 β(DAI_z) = +0.094, SE =</w:t>
      </w:r>
      <w:r>
        <w:t xml:space="preserve"> </w:t>
      </w:r>
      <w:r>
        <w:t xml:space="preserve">0.088, p = .285 (n.s.)</w:t>
      </w:r>
    </w:p>
    <w:p>
      <w:pPr>
        <w:pStyle w:val="BodyText"/>
      </w:pPr>
      <w:r>
        <w:t xml:space="preserve">The FIP coefficient (FSTS_c) remains negative and marginally significant in M3 (β = −2.979, p = .056), likely reflecting the substantially reduced sample (N = 205 for M3, versus N = 209 for M1, both reflecting attrition from the 959-firm analysis sample due to missing control and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Entered as direct terms (not interactions), technological capability (TCI_z: β = +0.299, p = .003) raises the productivity level while digital adoption (DAI_z: β = +0.094, p = .285) does not; neither alters the negative FSTS slope, so H2 (non-moderation of the I-P slope) holds in Pacific SIDS, consistent with the FIP mechanism overwhelming capability effects in structurally constrained economies. The positive TCI_z estimate (significant) and the smaller, non-significant DAI_z estimate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6"/>
    <w:bookmarkStart w:id="37"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−1.339, p &lt; .001); (ii) no significant quadratic curvature or turning point (M2: both FSTS_c and FSTS_c² non-significant); (iii) negative across specifications (M_yearFE: β = −3.351, p &lt; .001; M_bivariate: β = −0.864, p = .050; exporters-only: β = −1.176, p = .130, n.s.); and (iv) no capability moderation of the slope (M3 adds TCI_z and DAI_z as direct terms: TCI_z p = .003 raises the level, DAI_z p = .285).</w:t>
      </w:r>
    </w:p>
    <w:bookmarkEnd w:id="37"/>
    <w:bookmarkEnd w:id="38"/>
    <w:bookmarkStart w:id="44" w:name="X735612638e4e736e4693e459c258977262c0dfc"/>
    <w:p>
      <w:pPr>
        <w:pStyle w:val="Heading2"/>
      </w:pPr>
      <w:r>
        <w:t xml:space="preserve">5. Discussion</w:t>
      </w:r>
    </w:p>
    <w:bookmarkStart w:id="39"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 the sign, not just the magnitude, of the I-P relationship reverses.</w:t>
      </w:r>
    </w:p>
    <w:bookmarkEnd w:id="39"/>
    <w:bookmarkStart w:id="40"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40"/>
    <w:bookmarkStart w:id="41"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1"/>
    <w:bookmarkStart w:id="42"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2"/>
    <w:bookmarkStart w:id="43"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Papua New Guinea, and Vanuatu,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0.048 and only 13.8% exporters, the FSTS distribution is highly</w:t>
      </w:r>
      <w:r>
        <w:t xml:space="preserve"> </w:t>
      </w:r>
      <w:r>
        <w:t xml:space="preserve">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p>
      <w:pPr>
        <w:pStyle w:val="BodyText"/>
      </w:pPr>
      <w:r>
        <w:t xml:space="preserve">Fifth, and most importantly,</w:t>
      </w:r>
      <w:r>
        <w:t xml:space="preserve"> </w:t>
      </w:r>
      <w:r>
        <w:rPr>
          <w:bCs/>
          <w:b/>
        </w:rPr>
        <w:t xml:space="preserve">the estimate is data-version-sensitive and rests on few economies</w:t>
      </w:r>
      <w:r>
        <w:t xml:space="preserve">: the headline M1 sample (N = 209) is composed of the three Pacific economies with complete pre-2018 control data (Fiji 2009, Papua New Guinea 2015, Vanuatu 2009). On an expanded build of the harmonised SIDS frame that more fully ingests additional island economies and recent waves, the FSTS coefficient becomes non-significant and sign-unstable. With only three to nine island economies (clusters), conventional cluster-robust inference is also unreliable. We therefore present FIP primarily as a</w:t>
      </w:r>
      <w:r>
        <w:t xml:space="preserve"> </w:t>
      </w:r>
      <w:r>
        <w:rPr>
          <w:bCs/>
          <w:b/>
        </w:rPr>
        <w:t xml:space="preserve">theoretical boundary-condition construct supported by exploratory evidence</w:t>
      </w:r>
      <w:r>
        <w:t xml:space="preserve">, and a definitive test awaits more complete firm-level data across a larger number of island economies. We report this sensitivity transparently rather than presenting the penalty as a settled empirical regularity.</w:t>
      </w:r>
    </w:p>
    <w:bookmarkEnd w:id="43"/>
    <w:bookmarkEnd w:id="44"/>
    <w:bookmarkStart w:id="45" w:name="X56025c6d9dbf7520f7a7df11f905cdd09f46e4a"/>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959 firms across seven Pacific SIDS economies, we find support for FIP across multiple specifications on the available data (β = −1.339, p &lt; .001 in the primary country-and-year fixed-effects model, estimated on the N = 209 complete-case subsample; β = −3.351, p &lt; .001 without country fixed effects; β = −0.864, p = .050 in the full-sample bivariate model; β = −1.176, p = .130 in the exporters-only subsample), while noting explicitly that this estimate rests on three economies and is data-version-sensitive (Section 5.5). The quadratic term is not significant, consistent with a monotone negative form with no observable turning point. Digital adoption is null and, although technological capability raises the overall productivity level, neither capability moderates the negative export-performance slope,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bookmarkEnd w:id="45"/>
    <w:bookmarkStart w:id="46"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6"/>
    <w:bookmarkStart w:id="47"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microdata for the Pacific Small Island Developing States analysed data. The original collector of the data, the authorised distributor, and the relevant funding agency bear no responsibility for the use of the data or for interpretations or inferences based upon such uses.</w:t>
      </w:r>
    </w:p>
    <w:bookmarkEnd w:id="47"/>
    <w:bookmarkStart w:id="48"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8"/>
    <w:bookmarkStart w:id="49"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49"/>
    <w:bookmarkStart w:id="51" w:name="data-availability"/>
    <w:p>
      <w:pPr>
        <w:pStyle w:val="Heading2"/>
      </w:pPr>
      <w:r>
        <w:t xml:space="preserve">Data availability</w:t>
      </w:r>
    </w:p>
    <w:p>
      <w:pPr>
        <w:pStyle w:val="FirstParagraph"/>
      </w:pPr>
      <w:r>
        <w:t xml:space="preserve">The World Bank Enterprise Survey (WBES) microdata for the Pacific Small Island Developing States analysed in this study are publicly available at</w:t>
      </w:r>
      <w:r>
        <w:t xml:space="preserve"> </w:t>
      </w:r>
      <w:hyperlink r:id="rId50">
        <w:r>
          <w:rPr>
            <w:rStyle w:val="Hyperlink"/>
          </w:rPr>
          <w:t xml:space="preserve">https://www.enterprisesurveys.org</w:t>
        </w:r>
      </w:hyperlink>
      <w:r>
        <w:t xml:space="preserve"> </w:t>
      </w:r>
      <w:r>
        <w:t xml:space="preserve">subject to World Bank registration. Replication materials are available from the authors upon reasonable request, to the extent permitted by the WBES Data Access Protocol.</w:t>
      </w:r>
    </w:p>
    <w:bookmarkEnd w:id="51"/>
    <w:bookmarkStart w:id="55" w:name="references"/>
    <w:p>
      <w:pPr>
        <w:pStyle w:val="Heading2"/>
      </w:pPr>
      <w:r>
        <w:t xml:space="preserve">References</w:t>
      </w:r>
    </w:p>
    <w:p>
      <w:pPr>
        <w:pStyle w:val="FirstParagraph"/>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2">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3">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4">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55"/>
    <w:bookmarkStart w:id="59" w:name="appendix-a-tables"/>
    <w:p>
      <w:pPr>
        <w:pStyle w:val="Heading2"/>
      </w:pPr>
      <w:r>
        <w:t xml:space="preserve">Appendix A: Tables</w:t>
      </w:r>
    </w:p>
    <w:bookmarkStart w:id="56"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Total</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Note: N denotes analysis-sample firm-year observations (non-missing ln labour productivity and FSTS). Exporters are firms with FSTS &gt; 0; mean FSTS is computed over all firms, including non-exporters. Fiji, Papua New Guinea, and Vanuatu have two WBES waves; the remaining four economies have one.</w:t>
      </w:r>
    </w:p>
    <w:bookmarkEnd w:id="56"/>
    <w:bookmarkStart w:id="57"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 &lt; .001; ** p &lt; .01; * p &lt; .05; . p &lt; .10.</w:t>
      </w:r>
    </w:p>
    <w:p>
      <w:pPr>
        <w:pStyle w:val="BodyText"/>
      </w:pPr>
      <w:r>
        <w:rPr>
          <w:iCs/>
          <w:i/>
        </w:rPr>
        <w:t xml:space="preserve">Forced Internationalization Penalty (FIP): Confirmed, β(FSTS_c) = −1.339, p &lt; .001 (M1).</w:t>
      </w:r>
    </w:p>
    <w:bookmarkEnd w:id="57"/>
    <w:bookmarkStart w:id="58" w:name="X7775d9c2e75aeee42b06c6b53779c3c2e708831"/>
    <w:p>
      <w:pPr>
        <w:pStyle w:val="Heading3"/>
      </w:pPr>
      <w:r>
        <w:t xml:space="preserve">Table 3. Robustness: Exporters-Only Subsample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Negative (n.s.)</w:t>
            </w:r>
          </w:p>
        </w:tc>
      </w:tr>
      <w:tr>
        <w:tc>
          <w:tcPr/>
          <w:p>
            <w:pPr>
              <w:pStyle w:val="Compact"/>
              <w:jc w:val="left"/>
            </w:pPr>
            <w:r>
              <w:t xml:space="preserve">M1 full sample</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Negative</w:t>
            </w:r>
          </w:p>
        </w:tc>
      </w:tr>
    </w:tbl>
    <w:p>
      <w:pPr>
        <w:pStyle w:val="BodyText"/>
      </w:pPr>
      <w:r>
        <w:rPr>
          <w:iCs/>
          <w:i/>
        </w:rPr>
        <w:t xml:space="preserve">Note: The penalty is negative across specifications and strongest in the fixed-effects models. The exporters-only result (β = −1.176) is directionally consistent but not significant (N = 26; underpowered), so it cannot by itself rule out adverse selection.</w:t>
      </w:r>
    </w:p>
    <w:bookmarkEnd w:id="58"/>
    <w:bookmarkEnd w:id="59"/>
    <w:bookmarkEnd w:id="6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data360.worldbank.org/en/int/atlas/artificial-intelligence" TargetMode="External" /><Relationship Type="http://schemas.openxmlformats.org/officeDocument/2006/relationships/hyperlink" Id="rId54" Target="https://data360.worldbank.org/en/int/atlas/global-progress" TargetMode="External" /><Relationship Type="http://schemas.openxmlformats.org/officeDocument/2006/relationships/hyperlink" Id="rId52" Target="https://doi.org/10.1002/smj.2399" TargetMode="External" /><Relationship Type="http://schemas.openxmlformats.org/officeDocument/2006/relationships/hyperlink" Id="rId50"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3" Target="https://data360.worldbank.org/en/int/atlas/artificial-intelligence" TargetMode="External" /><Relationship Type="http://schemas.openxmlformats.org/officeDocument/2006/relationships/hyperlink" Id="rId54" Target="https://data360.worldbank.org/en/int/atlas/global-progress" TargetMode="External" /><Relationship Type="http://schemas.openxmlformats.org/officeDocument/2006/relationships/hyperlink" Id="rId52" Target="https://doi.org/10.1002/smj.2399" TargetMode="External" /><Relationship Type="http://schemas.openxmlformats.org/officeDocument/2006/relationships/hyperlink" Id="rId50"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2026-06-20T23:41:52Z</dcterms:created>
  <dcterms:modified xsi:type="dcterms:W3CDTF">2026-06-20T23:41:52Z</dcterms:modified>
</cp:coreProperties>
</file>

<file path=docProps/custom.xml><?xml version="1.0" encoding="utf-8"?>
<Properties xmlns="http://schemas.openxmlformats.org/officeDocument/2006/custom-properties" xmlns:vt="http://schemas.openxmlformats.org/officeDocument/2006/docPropsVTypes"/>
</file>