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762b2c72165c8caef3d80510699a0007520dbf8"/>
    <w:p>
      <w:pPr>
        <w:pStyle w:val="Heading1"/>
      </w:pPr>
      <w:r>
        <w:t xml:space="preserve">When the Inverted-U Dissolves: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bookmarkStart w:id="20" w:name="highlights"/>
    <w:p>
      <w:pPr>
        <w:pStyle w:val="Heading2"/>
      </w:pPr>
      <w:r>
        <w:t xml:space="preserve">Highlights</w:t>
      </w:r>
    </w:p>
    <w:p>
      <w:pPr>
        <w:numPr>
          <w:ilvl w:val="0"/>
          <w:numId w:val="1001"/>
        </w:numPr>
        <w:pStyle w:val="Compact"/>
      </w:pPr>
      <w:r>
        <w:t xml:space="preserve">The canonical inverted-U dissolves in Pacific small island developing states</w:t>
      </w:r>
    </w:p>
    <w:p>
      <w:pPr>
        <w:numPr>
          <w:ilvl w:val="0"/>
          <w:numId w:val="1001"/>
        </w:numPr>
        <w:pStyle w:val="Compact"/>
      </w:pPr>
      <w:r>
        <w:t xml:space="preserve">Export-intensity slope is indistinguishable from zero (bootstrap p = .66)</w:t>
      </w:r>
    </w:p>
    <w:p>
      <w:pPr>
        <w:numPr>
          <w:ilvl w:val="0"/>
          <w:numId w:val="1001"/>
        </w:numPr>
        <w:pStyle w:val="Compact"/>
      </w:pPr>
      <w:r>
        <w:t xml:space="preserve">Curvature is marginally positive, not concave, hinting at convexity</w:t>
      </w:r>
    </w:p>
    <w:p>
      <w:pPr>
        <w:numPr>
          <w:ilvl w:val="0"/>
          <w:numId w:val="1001"/>
        </w:numPr>
        <w:pStyle w:val="Compact"/>
      </w:pPr>
      <w:r>
        <w:t xml:space="preserve">Technological capability raises productivity but does not restore the inverted-U</w:t>
      </w:r>
    </w:p>
    <w:p>
      <w:pPr>
        <w:numPr>
          <w:ilvl w:val="0"/>
          <w:numId w:val="1001"/>
        </w:numPr>
        <w:pStyle w:val="Compact"/>
      </w:pPr>
      <w:r>
        <w:t xml:space="preserve">Forced Internationalization Penalty bounds the inverted-U paradigm's scope</w:t>
      </w:r>
    </w:p>
    <w:bookmarkEnd w:id="20"/>
    <w:bookmarkStart w:id="21"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1,450 firms across seven Pacific small island developing states (SIDS)—Fiji, Kiribati, Papua New Guinea, Samoa, Solomon Islands, Tonga, and Vanuatu (2009–2025). The robust finding is that the canonical inverted-U</w:t>
      </w:r>
      <w:r>
        <w:t xml:space="preserve"> </w:t>
      </w:r>
      <w:r>
        <w:rPr>
          <w:bCs/>
          <w:b/>
        </w:rPr>
        <w:t xml:space="preserve">dissolves</w:t>
      </w:r>
      <w:r>
        <w:t xml:space="preserve">: across the full sample, the export-intensity slope is statistically indistinguishable from zero (wild-cluster bootstrap p = .66) and the curvature term is only marginally significant and</w:t>
      </w:r>
      <w:r>
        <w:t xml:space="preserve"> </w:t>
      </w:r>
      <w:r>
        <w:rPr>
          <w:iCs/>
          <w:i/>
        </w:rPr>
        <w:t xml:space="preserve">positive</w:t>
      </w:r>
      <w:r>
        <w:t xml:space="preserve"> </w:t>
      </w:r>
      <w:r>
        <w:t xml:space="preserve">rather than concave (p = .082), in sharp contrast to the sharp inverted-U observed in mainland transition economies. A weaker, suggestive pattern is that once firm capability is held constant the curvature becomes more strongly positive and marginally significant (wild-cluster bootstrap p = .056), hinting at a</w:t>
      </w:r>
      <w:r>
        <w:t xml:space="preserve"> </w:t>
      </w:r>
      <w:r>
        <w:rPr>
          <w:bCs/>
          <w:b/>
        </w:rPr>
        <w:t xml:space="preserve">convex</w:t>
      </w:r>
      <w:r>
        <w:t xml:space="preserve"> </w:t>
      </w:r>
      <w:r>
        <w:t xml:space="preserve">rather than concave relationship—a productivity penalty across the low-to-moderate export-intensity range in which almost all island firms operate; we present this convexity cautiously rather than as a confirmed reversal. Technological capability raises the productivity level (p = .036) but does not restore the inverted-U. We interpret this pattern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1"/>
    <w:bookmarkStart w:id="22" w:name="Xe3d0fc0bea9a42ce7605565d0964033d7f6ee47"/>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1,450 firms across seven Pacific SIDS, we ask whether the inverted-U extends to this extreme periphery. It does not: the curvature that defines the inverted-U is statistically absent and the export-intensity slope is indistinguishable from zero. A weaker, suggestive pattern—conditional on firm capability, the relationship leans convex rather than concave, a productivity penalty in the low-to-moderate export range in which nearly all island firms operate—points toward a theoretical limiting case we name the</w:t>
      </w:r>
      <w:r>
        <w:t xml:space="preserve"> </w:t>
      </w:r>
      <w:r>
        <w:rPr>
          <w:bCs/>
          <w:b/>
        </w:rPr>
        <w:t xml:space="preserve">Forced Internationalization Penalty (FIP)</w:t>
      </w:r>
      <w:r>
        <w:t xml:space="preserve">, which we treat as a bounding concept rather than a confirmed effect.</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2"/>
    <w:bookmarkStart w:id="26" w:name="X43e7158be065a721c770c06ea2f815f7e7fae72"/>
    <w:p>
      <w:pPr>
        <w:pStyle w:val="Heading2"/>
      </w:pPr>
      <w:r>
        <w:t xml:space="preserve">2. Theory and Propositions</w:t>
      </w:r>
    </w:p>
    <w:bookmarkStart w:id="23" w:name="Xad6534926ec94987211d9dae5118ee62eea38d1"/>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 "selection into exporting" 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3"/>
    <w:bookmarkStart w:id="24" w:name="X6c89eb3abad206f56055e00831cda9bd665e94f"/>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 turns mildly</w:t>
      </w:r>
      <w:r>
        <w:t xml:space="preserve"> </w:t>
      </w:r>
      <w:r>
        <w:rPr>
          <w:iCs/>
          <w:i/>
        </w:rPr>
        <w:t xml:space="preserve">convex</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convexity; exploratory).</w:t>
      </w:r>
      <w:r>
        <w:t xml:space="preserve"> </w:t>
      </w:r>
      <w:r>
        <w:t xml:space="preserve">Conditional on firm capability, the SIDS I–P relationship leans convex rather than concave—a productivity penalty across the low-to-moderate export-intensity range, reversing only at high intensities that are empirically rare. We frame this as an exploratory proposition, given that the convexity is only marginally significant.</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4"/>
    <w:bookmarkStart w:id="25" w:name="Xf806f2bc2d1c442d398b7c25f7e1981f452734f"/>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5"/>
    <w:bookmarkEnd w:id="26"/>
    <w:bookmarkStart w:id="30" w:name="X5eb800a903106e48a684e9ea9de39ed619b9df8"/>
    <w:p>
      <w:pPr>
        <w:pStyle w:val="Heading2"/>
      </w:pPr>
      <w:r>
        <w:t xml:space="preserve">3. Data and Methods</w:t>
      </w:r>
    </w:p>
    <w:bookmarkStart w:id="27" w:name="X70e11e340954adad47d5bac65fc0af7106a577c"/>
    <w:p>
      <w:pPr>
        <w:pStyle w:val="Heading3"/>
      </w:pPr>
      <w:r>
        <w:t xml:space="preserve">3.1 Sample</w:t>
      </w:r>
    </w:p>
    <w:p>
      <w:pPr>
        <w:pStyle w:val="FirstParagraph"/>
      </w:pPr>
      <w:r>
        <w:t xml:space="preserve">We draw firm-level data from the World Bank Enterprise Survey for the seven Pacific small island developing states with available firm microdata—Fiji, Kiribati, Papua New Guinea, Samoa, Solomon Islands, Tonga, and Vanuatu—across all available waves from 2009 to 2025. These are Pacific Island Countries under the World Bank's regional classification and members of the United Nations' Pacific SIDS list. We deliberately exclude Timor-Leste, which—although occasionally grouped with the region—is neither a World Bank Pacific Island Country nor a United Nations Pacific SIDS, and is classed as a separate East Asia and Pacific economy; including it would conflate a structurally distinct, comparatively large economy (it would contribute nearly a quarter of the pooled observations) with the genuine island periphery. After requiring non-missing labor productivity and export intensity, the analytic sample comprises</w:t>
      </w:r>
      <w:r>
        <w:t xml:space="preserve"> </w:t>
      </w:r>
      <w:r>
        <w:rPr>
          <w:bCs/>
          <w:b/>
        </w:rPr>
        <w:t xml:space="preserve">1,450 firms across seven economies and thirteen country-year cells</w:t>
      </w:r>
      <w:r>
        <w:t xml:space="preserve">. Consistent with the structural argument, the export profile is exceptionally thin: only</w:t>
      </w:r>
      <w:r>
        <w:t xml:space="preserve"> </w:t>
      </w:r>
      <w:r>
        <w:rPr>
          <w:bCs/>
          <w:b/>
        </w:rPr>
        <w:t xml:space="preserve">14.6%</w:t>
      </w:r>
      <w:r>
        <w:t xml:space="preserve"> </w:t>
      </w:r>
      <w:r>
        <w:t xml:space="preserve">of firms export, mean FSTS is</w:t>
      </w:r>
      <w:r>
        <w:t xml:space="preserve"> </w:t>
      </w:r>
      <w:r>
        <w:rPr>
          <w:bCs/>
          <w:b/>
        </w:rPr>
        <w:t xml:space="preserve">0.054</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7"/>
    <w:bookmarkStart w:id="28" w:name="Xbcf9f12e79107fa2c089aaf13fc6c4fb773f1c2"/>
    <w:p>
      <w:pPr>
        <w:pStyle w:val="Heading3"/>
      </w:pPr>
      <w:r>
        <w:t xml:space="preserve">3.2 Variables</w:t>
      </w:r>
    </w:p>
    <w:p>
      <w:pPr>
        <w:pStyle w:val="FirstParagraph"/>
      </w:pPr>
      <w:r>
        <w:t xml:space="preserve">Labor productivity is the natural log of annual sales per worker, ln(d2/l1), winsorized 1/99 and standardized (z-scored) within each economy-year cell so that estimates are currency-neutral and on the same footing as the companion 49-economy study. Internationalization intensity (FSTS) is total exports as a share of sales, (d3b + d3c)/100, centered within sample. Technological capability (TCI) is a standardized index of quality certification and foreign-technology licensing; digital adoption (DAI) is the website-presence indicator—the Tier-1 measure comparably available across SIDS waves. Firm age (log years since establishment) and foreign ownership (a 10%-threshold indicator) are controls. We follow established practice in operationalizing capability as a formative composite (Diamantopoulos &amp; Winklhofer, 2001; Jarvis, MacKenzie, &amp; Podsakoff, 2003).</w:t>
      </w:r>
    </w:p>
    <w:bookmarkEnd w:id="28"/>
    <w:bookmarkStart w:id="29" w:name="X22504e1bd0f0c0835a7c48fe19f571928e1b87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seven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49-economy study.</w:t>
      </w:r>
    </w:p>
    <w:bookmarkEnd w:id="29"/>
    <w:bookmarkEnd w:id="30"/>
    <w:bookmarkStart w:id="38" w:name="X121719332867ee227f0a04b486098cee978c6e6"/>
    <w:p>
      <w:pPr>
        <w:pStyle w:val="Heading2"/>
      </w:pPr>
      <w:r>
        <w:t xml:space="preserve">4. Results</w:t>
      </w:r>
    </w:p>
    <w:bookmarkStart w:id="31" w:name="X05a8f9c75e065de99665aa3fb7236e0c61755c2"/>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−0.085, wild-bootstrap p = .66). Adding the quadratic term does not recover an inverted-U: the curvature coefficient is</w:t>
      </w:r>
      <w:r>
        <w:t xml:space="preserve"> </w:t>
      </w:r>
      <w:r>
        <w:rPr>
          <w:bCs/>
          <w:b/>
        </w:rPr>
        <w:t xml:space="preserve">positive</w:t>
      </w:r>
      <w:r>
        <w:t xml:space="preserve"> </w:t>
      </w:r>
      <w:r>
        <w:t xml:space="preserve">and only marginally significant (M2: β₂ = +0.696, wild-bootstrap p = .082; β₁ = −0.567, p = .088).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standardized labor productivity, Pacific SIDS (economy + year FE; firm-age and foreign-ownership controls; wild-cluster bootstrap p, G =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−0.085 (.66)</w:t>
            </w:r>
          </w:p>
        </w:tc>
        <w:tc>
          <w:tcPr/>
          <w:p>
            <w:pPr>
              <w:pStyle w:val="Compact"/>
              <w:jc w:val="right"/>
            </w:pPr>
            <w:r>
              <w:t xml:space="preserve">−0.567 (.088)</w:t>
            </w:r>
          </w:p>
        </w:tc>
        <w:tc>
          <w:tcPr/>
          <w:p>
            <w:pPr>
              <w:pStyle w:val="Compact"/>
              <w:jc w:val="right"/>
            </w:pPr>
            <w:r>
              <w:t xml:space="preserve">−0.852 (.024)</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+0.696 (.082)</w:t>
            </w:r>
          </w:p>
        </w:tc>
        <w:tc>
          <w:tcPr/>
          <w:p>
            <w:pPr>
              <w:pStyle w:val="Compact"/>
              <w:jc w:val="right"/>
            </w:pPr>
            <w:r>
              <w:t xml:space="preserve">+1.051 (.056)</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+0.064 (.036)</w:t>
            </w:r>
          </w:p>
        </w:tc>
      </w:tr>
      <w:tr>
        <w:tc>
          <w:tcPr/>
          <w:p>
            <w:pPr>
              <w:pStyle w:val="Compact"/>
              <w:jc w:val="left"/>
            </w:pPr>
            <w:r>
              <w:t xml:space="preserve">DAI (website)</w:t>
            </w:r>
          </w:p>
        </w:tc>
        <w:tc>
          <w:tcPr/>
          <w:p>
            <w:pPr>
              <w:pStyle w:val="Compact"/>
              <w:jc w:val="right"/>
            </w:pPr>
            <w:r>
              <w:t xml:space="preserve">—</w:t>
            </w:r>
          </w:p>
        </w:tc>
        <w:tc>
          <w:tcPr/>
          <w:p>
            <w:pPr>
              <w:pStyle w:val="Compact"/>
              <w:jc w:val="right"/>
            </w:pPr>
            <w:r>
              <w:t xml:space="preserve">—</w:t>
            </w:r>
          </w:p>
        </w:tc>
        <w:tc>
          <w:tcPr/>
          <w:p>
            <w:pPr>
              <w:pStyle w:val="Compact"/>
              <w:jc w:val="right"/>
            </w:pPr>
            <w:r>
              <w:t xml:space="preserve">+0.157 (.102)</w:t>
            </w:r>
          </w:p>
        </w:tc>
      </w:tr>
      <w:tr>
        <w:tc>
          <w:tcPr/>
          <w:p>
            <w:pPr>
              <w:pStyle w:val="Compact"/>
              <w:jc w:val="left"/>
            </w:pPr>
            <w:r>
              <w:t xml:space="preserve">N</w:t>
            </w:r>
          </w:p>
        </w:tc>
        <w:tc>
          <w:tcPr/>
          <w:p>
            <w:pPr>
              <w:pStyle w:val="Compact"/>
              <w:jc w:val="right"/>
            </w:pPr>
            <w:r>
              <w:t xml:space="preserve">1,434</w:t>
            </w:r>
          </w:p>
        </w:tc>
        <w:tc>
          <w:tcPr/>
          <w:p>
            <w:pPr>
              <w:pStyle w:val="Compact"/>
              <w:jc w:val="right"/>
            </w:pPr>
            <w:r>
              <w:t xml:space="preserve">1,434</w:t>
            </w:r>
          </w:p>
        </w:tc>
        <w:tc>
          <w:tcPr/>
          <w:p>
            <w:pPr>
              <w:pStyle w:val="Compact"/>
              <w:jc w:val="right"/>
            </w:pPr>
            <w:r>
              <w:t xml:space="preserve">1,389</w:t>
            </w:r>
          </w:p>
        </w:tc>
      </w:tr>
    </w:tbl>
    <w:p>
      <w:pPr>
        <w:pStyle w:val="BodyText"/>
      </w:pPr>
      <w:r>
        <w:rPr>
          <w:iCs/>
          <w:i/>
        </w:rPr>
        <w:t xml:space="preserve">Dependent variable: labor productivity z-scored within economy-year. Firm-age and foreign-ownership controls and economy + year fixed effects included in every model. Wild-cluster bootstrap p-values in parentheses (9,999 replications, Rademacher weights, clustered by economy).</w:t>
      </w:r>
    </w:p>
    <w:bookmarkEnd w:id="31"/>
    <w:bookmarkStart w:id="35" w:name="X1fefcb44b61e1d2716040c1c1645ab86085ab3b"/>
    <w:p>
      <w:pPr>
        <w:pStyle w:val="Heading3"/>
      </w:pPr>
      <w:r>
        <w:t xml:space="preserve">4.2 A suggestive conditional convexity (Proposition 2)</w:t>
      </w:r>
    </w:p>
    <w:p>
      <w:pPr>
        <w:pStyle w:val="FirstParagraph"/>
      </w:pPr>
      <w:r>
        <w:t xml:space="preserve">Once technological capability and digital adoption are held constant (M3), the curvature turns more strongly positive and</w:t>
      </w:r>
      <w:r>
        <w:t xml:space="preserve"> </w:t>
      </w:r>
      <w:r>
        <w:rPr>
          <w:bCs/>
          <w:b/>
        </w:rPr>
        <w:t xml:space="preserve">marginally significant</w:t>
      </w:r>
      <w:r>
        <w:t xml:space="preserve"> </w:t>
      </w:r>
      <w:r>
        <w:t xml:space="preserve">(β₂ = +1.051, wild-bootstrap p = .056), with a negative linear term (β₁ = −0.852, p = .024). The implied shape is, tentatively,</w:t>
      </w:r>
      <w:r>
        <w:t xml:space="preserve"> </w:t>
      </w:r>
      <w:r>
        <w:rPr>
          <w:bCs/>
          <w:b/>
        </w:rPr>
        <w:t xml:space="preserve">convex (U-shaped)</w:t>
      </w:r>
      <w:r>
        <w:t xml:space="preserve">: productivity declines with export intensity across the low-to-moderate range and would turn up only beyond an interior</w:t>
      </w:r>
      <w:r>
        <w:t xml:space="preserve"> </w:t>
      </w:r>
      <w:r>
        <w:rPr>
          <w:iCs/>
          <w:i/>
        </w:rPr>
        <w:t xml:space="preserve">minimum</w:t>
      </w:r>
      <w:r>
        <w:t xml:space="preserve"> </w:t>
      </w:r>
      <w:r>
        <w:t xml:space="preserve">in the high-FSTS region that few island firms reach. We read this as</w:t>
      </w:r>
      <w:r>
        <w:t xml:space="preserve"> </w:t>
      </w:r>
      <w:r>
        <w:rPr>
          <w:iCs/>
          <w:i/>
        </w:rPr>
        <w:t xml:space="preserve">suggestive</w:t>
      </w:r>
      <w:r>
        <w:t xml:space="preserve"> </w:t>
      </w:r>
      <w:r>
        <w:t xml:space="preserve">of a mirror image of the mainland inverted-U rather than a confirmed reversal, given the marginal significance and the small number of clusters.</w:t>
      </w:r>
    </w:p>
    <w:p>
      <w:pPr>
        <w:pStyle w:val="BodyText"/>
      </w:pPr>
      <w:r>
        <w:drawing>
          <wp:inline>
            <wp:extent cx="5753100" cy="2590318"/>
            <wp:effectExtent b="0" l="0" r="0" t="0"/>
            <wp:docPr descr="Figure 1. The inverted-U dissolves at the periphery. Mainland transition economies show a sharp concave inverted-U (panel a); in Pacific SIDS the inverted-U is statistically absent, and conditional on firm capability a suggestive convex pattern emerges (panel b), implying a productivity penalty across the low-to-moderate export-intensity range where almost all island firms operate." title="" id="33" name="Picture"/>
            <a:graphic>
              <a:graphicData uri="http://schemas.openxmlformats.org/drawingml/2006/picture">
                <pic:pic>
                  <pic:nvPicPr>
                    <pic:cNvPr descr="figures/p8_fig1_dissolution_en.png" id="34" name="Picture"/>
                    <pic:cNvPicPr>
                      <a:picLocks noChangeArrowheads="1" noChangeAspect="1"/>
                    </pic:cNvPicPr>
                  </pic:nvPicPr>
                  <pic:blipFill>
                    <a:blip r:embed="rId32"/>
                    <a:stretch>
                      <a:fillRect/>
                    </a:stretch>
                  </pic:blipFill>
                  <pic:spPr bwMode="auto">
                    <a:xfrm>
                      <a:off x="0" y="0"/>
                      <a:ext cx="5753100" cy="2590318"/>
                    </a:xfrm>
                    <a:prstGeom prst="rect">
                      <a:avLst/>
                    </a:prstGeom>
                    <a:noFill/>
                    <a:ln w="9525">
                      <a:noFill/>
                      <a:headEnd/>
                      <a:tailEnd/>
                    </a:ln>
                  </pic:spPr>
                </pic:pic>
              </a:graphicData>
            </a:graphic>
          </wp:inline>
        </w:drawing>
      </w:r>
      <w:r>
        <w:t xml:space="preserve"> </w:t>
      </w:r>
      <w:r>
        <w:t xml:space="preserve">Substantively, if the convex pattern holds, the dominant mass of SIDS firms—almost all at low-to-moderate FSTS—would sit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5"/>
    <w:bookmarkStart w:id="36" w:name="X686774388f0d4d572d181fff6790c8bb3818ccc"/>
    <w:p>
      <w:pPr>
        <w:pStyle w:val="Heading3"/>
      </w:pPr>
      <w:r>
        <w:t xml:space="preserve">4.3 Capability raises the level but does not restore the curve (Proposition 3)</w:t>
      </w:r>
    </w:p>
    <w:p>
      <w:pPr>
        <w:pStyle w:val="FirstParagraph"/>
      </w:pPr>
      <w:r>
        <w:t xml:space="preserve">Technological capability carries a positive, robust level effect (TCI: β = +0.064, wild-bootstrap p = .036); digital adoption is positive but weaker and non-significant (DAI: β = +0.157, p = .102).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6"/>
    <w:bookmarkStart w:id="37" w:name="X58f7a5766be726e537ea91036e0c1cce68b55a4"/>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seven-economy sample yields the null-to-convex pattern reported above; with only three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7"/>
    <w:bookmarkEnd w:id="38"/>
    <w:bookmarkStart w:id="43" w:name="X735612638e4e736e4693e459c258977262c0dfc"/>
    <w:p>
      <w:pPr>
        <w:pStyle w:val="Heading2"/>
      </w:pPr>
      <w:r>
        <w:t xml:space="preserve">5. Discussion</w:t>
      </w:r>
    </w:p>
    <w:bookmarkStart w:id="39" w:name="X4f9d466e54ca66f1246ba09841ebcb15422ba26"/>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with suggestive evidence that—conditional on capability—the relationship leans convex rather than inverting cleanly.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9"/>
    <w:bookmarkStart w:id="40" w:name="Xc9315f7dbaf99658c0c612b2f5c46388c1c2f67"/>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40"/>
    <w:bookmarkStart w:id="41" w:name="X1a57aea9d5624318ea90f98d111c68f671af07a"/>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41"/>
    <w:bookmarkStart w:id="42" w:name="X309bb4a3558d2d3e53939dccec61dfa821aeb07"/>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42"/>
    <w:bookmarkEnd w:id="43"/>
    <w:bookmarkStart w:id="44" w:name="X6b297cc947e0db5526be369b1f0f4ddc67b2415"/>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seven Pacific island states, we show that the inverted-U dissolves at this periphery, with suggestive evidence that, conditional on capability, the relationship leans convex—a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4"/>
    <w:bookmarkStart w:id="45"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microdata for the Pacific Small Island Developing States analysed data. The original collector of the data, the authorised distributor, and the relevant funding agency bear no responsibility for the use of the data or for interpretations or inferences based upon such uses.</w:t>
      </w:r>
    </w:p>
    <w:bookmarkEnd w:id="45"/>
    <w:bookmarkStart w:id="4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6"/>
    <w:bookmarkStart w:id="47"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47"/>
    <w:bookmarkStart w:id="49" w:name="data-availability"/>
    <w:p>
      <w:pPr>
        <w:pStyle w:val="Heading2"/>
      </w:pPr>
      <w:r>
        <w:t xml:space="preserve">Data availability</w:t>
      </w:r>
    </w:p>
    <w:p>
      <w:pPr>
        <w:pStyle w:val="FirstParagraph"/>
      </w:pPr>
      <w:r>
        <w:t xml:space="preserve">The World Bank Enterprise Survey (WBES) microdata for the Pacific Small Island Developing States analysed in this study are publicly available at</w:t>
      </w:r>
      <w:r>
        <w:t xml:space="preserve"> </w:t>
      </w:r>
      <w:hyperlink r:id="rId48">
        <w:r>
          <w:rPr>
            <w:rStyle w:val="Hyperlink"/>
          </w:rPr>
          <w:t xml:space="preserve">https://www.enterprisesurveys.org</w:t>
        </w:r>
      </w:hyperlink>
      <w:r>
        <w:t xml:space="preserve"> </w:t>
      </w:r>
      <w:r>
        <w:t xml:space="preserve">subject to World Bank registration. Replication materials are available from the authors upon reasonable request, to the extent permitted by the WBES Data Access Protocol.</w:t>
      </w:r>
    </w:p>
    <w:bookmarkEnd w:id="49"/>
    <w:bookmarkStart w:id="50" w:name="Xa6ff8e54395812bd8a1d49fa16c25a1d6a46bbb"/>
    <w:p>
      <w:pPr>
        <w:pStyle w:val="Heading2"/>
      </w:pPr>
      <w:r>
        <w:t xml:space="preserve">Declaration of Generative AI in the Writing Process</w:t>
      </w:r>
    </w:p>
    <w:p>
      <w:pPr>
        <w:pStyle w:val="FirstParagraph"/>
      </w:pPr>
      <w:r>
        <w:t xml:space="preserve">During the preparation of this work the authors used generative AI tools to assist with language editing and formatting. The authors reviewed and edited the content as needed and take full responsibility for the content of the publication.</w:t>
      </w:r>
    </w:p>
    <w:bookmarkEnd w:id="50"/>
    <w:bookmarkStart w:id="77"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52">
        <w:r>
          <w:rPr>
            <w:rStyle w:val="Hyperlink"/>
          </w:rPr>
          <w:t xml:space="preserve">https://doi.org/10.1002/smj.2567</w:t>
        </w:r>
      </w:hyperlink>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53">
        <w:r>
          <w:rPr>
            <w:rStyle w:val="Hyperlink"/>
          </w:rPr>
          <w:t xml:space="preserve">https://doi.org/10.1016/0305-750X(95)00065-K</w:t>
        </w:r>
      </w:hyperlink>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w:t>
      </w:r>
      <w:r>
        <w:t xml:space="preserve"> </w:t>
      </w:r>
      <w:hyperlink r:id="rId54">
        <w:r>
          <w:rPr>
            <w:rStyle w:val="Hyperlink"/>
          </w:rPr>
          <w:t xml:space="preserve">https://doi.org/10.1162/rest.90.3.414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5">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6">
        <w:r>
          <w:rPr>
            <w:rStyle w:val="Hyperlink"/>
          </w:rPr>
          <w:t xml:space="preserve">https://doi.org/10.1057/palgrave.jibs.8400003</w:t>
        </w:r>
      </w:hyperlink>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r>
        <w:t xml:space="preserve"> </w:t>
      </w:r>
      <w:hyperlink r:id="rId57">
        <w:r>
          <w:rPr>
            <w:rStyle w:val="Hyperlink"/>
          </w:rPr>
          <w:t xml:space="preserve">https://doi.org/10.1509/jmkr.38.2.269.18845</w:t>
        </w:r>
      </w:hyperlink>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r>
        <w:t xml:space="preserve"> </w:t>
      </w:r>
      <w:hyperlink r:id="rId58">
        <w:r>
          <w:rPr>
            <w:rStyle w:val="Hyperlink"/>
          </w:rPr>
          <w:t xml:space="preserve">https://doi.org/10.1057/s41267-017-0074-z</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60">
        <w:r>
          <w:rPr>
            <w:rStyle w:val="Hyperlink"/>
          </w:rPr>
          <w:t xml:space="preserve">https://doi.org/10.1007/s11575-007-0023-3</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61">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w:t>
      </w:r>
      <w:r>
        <w:t xml:space="preserve"> </w:t>
      </w:r>
      <w:hyperlink r:id="rId62">
        <w:r>
          <w:rPr>
            <w:rStyle w:val="Hyperlink"/>
          </w:rPr>
          <w:t xml:space="preserve">https://doi.org/10.1162/qjec.2009.124.4.1403</w:t>
        </w:r>
      </w:hyperlink>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r>
        <w:t xml:space="preserve"> </w:t>
      </w:r>
      <w:hyperlink r:id="rId63">
        <w:r>
          <w:rPr>
            <w:rStyle w:val="Hyperlink"/>
          </w:rPr>
          <w:t xml:space="preserve">https://doi.org/10.1086/376806</w:t>
        </w:r>
      </w:hyperlink>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6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5">
        <w:r>
          <w:rPr>
            <w:rStyle w:val="Hyperlink"/>
          </w:rPr>
          <w:t xml:space="preserve">https://doi.org/10.1057/jibs.2009.24</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r>
        <w:t xml:space="preserve"> </w:t>
      </w:r>
      <w:hyperlink r:id="rId66">
        <w:r>
          <w:rPr>
            <w:rStyle w:val="Hyperlink"/>
          </w:rPr>
          <w:t xml:space="preserve">https://doi.org/10.5465/amj.2011.59215090</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67">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8">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9">
        <w:r>
          <w:rPr>
            <w:rStyle w:val="Hyperlink"/>
          </w:rPr>
          <w:t xml:space="preserve">https://doi.org/10.2307/20159604</w:t>
        </w:r>
      </w:hyperlink>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70">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71">
        <w:r>
          <w:rPr>
            <w:rStyle w:val="Hyperlink"/>
          </w:rPr>
          <w:t xml:space="preserve">https://doi.org/10.1017/CBO9780511808678</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72">
        <w:r>
          <w:rPr>
            <w:rStyle w:val="Hyperlink"/>
          </w:rPr>
          <w:t xml:space="preserve">https://doi.org/10.1002/smj.3087</w:t>
        </w:r>
      </w:hyperlink>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r>
        <w:t xml:space="preserve"> </w:t>
      </w:r>
      <w:hyperlink r:id="rId73">
        <w:r>
          <w:rPr>
            <w:rStyle w:val="Hyperlink"/>
          </w:rPr>
          <w:t xml:space="preserve">https://doi.org/10.1111/etap.12088</w:t>
        </w:r>
      </w:hyperlink>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w:t>
      </w:r>
      <w:r>
        <w:t xml:space="preserve"> </w:t>
      </w:r>
      <w:hyperlink r:id="rId74">
        <w:r>
          <w:rPr>
            <w:rStyle w:val="Hyperlink"/>
          </w:rPr>
          <w:t xml:space="preserve">https://doi.org/10.1016/j.ibusrev.2017.09.005</w:t>
        </w:r>
      </w:hyperlink>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r>
        <w:t xml:space="preserve"> </w:t>
      </w:r>
      <w:hyperlink r:id="rId75">
        <w:r>
          <w:rPr>
            <w:rStyle w:val="Hyperlink"/>
          </w:rPr>
          <w:t xml:space="preserve">https://doi.org/10.1017/S1474745604001922</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76">
        <w:r>
          <w:rPr>
            <w:rStyle w:val="Hyperlink"/>
          </w:rPr>
          <w:t xml:space="preserve">https://doi.org/10.2307/256683</w:t>
        </w:r>
      </w:hyperlink>
    </w:p>
    <w:bookmarkEnd w:id="77"/>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59" Target="https://doi.org/10.1002/smj.2399" TargetMode="External" /><Relationship Type="http://schemas.openxmlformats.org/officeDocument/2006/relationships/hyperlink" Id="rId52" Target="https://doi.org/10.1002/smj.2567" TargetMode="External" /><Relationship Type="http://schemas.openxmlformats.org/officeDocument/2006/relationships/hyperlink" Id="rId72" Target="https://doi.org/10.1002/smj.3087" TargetMode="External" /><Relationship Type="http://schemas.openxmlformats.org/officeDocument/2006/relationships/hyperlink" Id="rId51" Target="https://doi.org/10.1007/s11575-007-0019-z" TargetMode="External" /><Relationship Type="http://schemas.openxmlformats.org/officeDocument/2006/relationships/hyperlink" Id="rId60" Target="https://doi.org/10.1007/s11575-007-0023-3" TargetMode="External" /><Relationship Type="http://schemas.openxmlformats.org/officeDocument/2006/relationships/hyperlink" Id="rId67" Target="https://doi.org/10.1016/0305-750X(92)90097-F" TargetMode="External" /><Relationship Type="http://schemas.openxmlformats.org/officeDocument/2006/relationships/hyperlink" Id="rId53" Target="https://doi.org/10.1016/0305-750X(95)00065-K" TargetMode="External" /><Relationship Type="http://schemas.openxmlformats.org/officeDocument/2006/relationships/hyperlink" Id="rId74" Target="https://doi.org/10.1016/j.ibusrev.2017.09.005" TargetMode="External" /><Relationship Type="http://schemas.openxmlformats.org/officeDocument/2006/relationships/hyperlink" Id="rId71" Target="https://doi.org/10.1017/CBO9780511808678" TargetMode="External" /><Relationship Type="http://schemas.openxmlformats.org/officeDocument/2006/relationships/hyperlink" Id="rId75" Target="https://doi.org/10.1017/S1474745604001922" TargetMode="External" /><Relationship Type="http://schemas.openxmlformats.org/officeDocument/2006/relationships/hyperlink" Id="rId65" Target="https://doi.org/10.1057/jibs.2009.24" TargetMode="External" /><Relationship Type="http://schemas.openxmlformats.org/officeDocument/2006/relationships/hyperlink" Id="rId56" Target="https://doi.org/10.1057/palgrave.jibs.8400003" TargetMode="External" /><Relationship Type="http://schemas.openxmlformats.org/officeDocument/2006/relationships/hyperlink" Id="rId64" Target="https://doi.org/10.1057/palgrave.jibs.8490676" TargetMode="External" /><Relationship Type="http://schemas.openxmlformats.org/officeDocument/2006/relationships/hyperlink" Id="rId58" Target="https://doi.org/10.1057/s41267-017-0074-z" TargetMode="External" /><Relationship Type="http://schemas.openxmlformats.org/officeDocument/2006/relationships/hyperlink" Id="rId63" Target="https://doi.org/10.1086/376806" TargetMode="External" /><Relationship Type="http://schemas.openxmlformats.org/officeDocument/2006/relationships/hyperlink" Id="rId70" Target="https://doi.org/10.1111/1468-0262.00467" TargetMode="External" /><Relationship Type="http://schemas.openxmlformats.org/officeDocument/2006/relationships/hyperlink" Id="rId73" Target="https://doi.org/10.1111/etap.12088" TargetMode="External" /><Relationship Type="http://schemas.openxmlformats.org/officeDocument/2006/relationships/hyperlink" Id="rId68" Target="https://doi.org/10.1111/j.1468-0084.2009.00569.x" TargetMode="External" /><Relationship Type="http://schemas.openxmlformats.org/officeDocument/2006/relationships/hyperlink" Id="rId62" Target="https://doi.org/10.1162/qjec.2009.124.4.1403" TargetMode="External" /><Relationship Type="http://schemas.openxmlformats.org/officeDocument/2006/relationships/hyperlink" Id="rId54" Target="https://doi.org/10.1162/rest.90.3.414" TargetMode="External" /><Relationship Type="http://schemas.openxmlformats.org/officeDocument/2006/relationships/hyperlink" Id="rId57" Target="https://doi.org/10.1509/jmkr.38.2.269.18845" TargetMode="External" /><Relationship Type="http://schemas.openxmlformats.org/officeDocument/2006/relationships/hyperlink" Id="rId69" Target="https://doi.org/10.2307/20159604" TargetMode="External" /><Relationship Type="http://schemas.openxmlformats.org/officeDocument/2006/relationships/hyperlink" Id="rId55" Target="https://doi.org/10.2307/2393553" TargetMode="External" /><Relationship Type="http://schemas.openxmlformats.org/officeDocument/2006/relationships/hyperlink" Id="rId76" Target="https://doi.org/10.2307/256683" TargetMode="External" /><Relationship Type="http://schemas.openxmlformats.org/officeDocument/2006/relationships/hyperlink" Id="rId61" Target="https://doi.org/10.2307/256948" TargetMode="External" /><Relationship Type="http://schemas.openxmlformats.org/officeDocument/2006/relationships/hyperlink" Id="rId66" Target="https://doi.org/10.5465/amj.2011.59215090" TargetMode="External" /><Relationship Type="http://schemas.openxmlformats.org/officeDocument/2006/relationships/hyperlink" Id="rId48"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002/smj.2399" TargetMode="External" /><Relationship Type="http://schemas.openxmlformats.org/officeDocument/2006/relationships/hyperlink" Id="rId52" Target="https://doi.org/10.1002/smj.2567" TargetMode="External" /><Relationship Type="http://schemas.openxmlformats.org/officeDocument/2006/relationships/hyperlink" Id="rId72" Target="https://doi.org/10.1002/smj.3087" TargetMode="External" /><Relationship Type="http://schemas.openxmlformats.org/officeDocument/2006/relationships/hyperlink" Id="rId51" Target="https://doi.org/10.1007/s11575-007-0019-z" TargetMode="External" /><Relationship Type="http://schemas.openxmlformats.org/officeDocument/2006/relationships/hyperlink" Id="rId60" Target="https://doi.org/10.1007/s11575-007-0023-3" TargetMode="External" /><Relationship Type="http://schemas.openxmlformats.org/officeDocument/2006/relationships/hyperlink" Id="rId67" Target="https://doi.org/10.1016/0305-750X(92)90097-F" TargetMode="External" /><Relationship Type="http://schemas.openxmlformats.org/officeDocument/2006/relationships/hyperlink" Id="rId53" Target="https://doi.org/10.1016/0305-750X(95)00065-K" TargetMode="External" /><Relationship Type="http://schemas.openxmlformats.org/officeDocument/2006/relationships/hyperlink" Id="rId74" Target="https://doi.org/10.1016/j.ibusrev.2017.09.005" TargetMode="External" /><Relationship Type="http://schemas.openxmlformats.org/officeDocument/2006/relationships/hyperlink" Id="rId71" Target="https://doi.org/10.1017/CBO9780511808678" TargetMode="External" /><Relationship Type="http://schemas.openxmlformats.org/officeDocument/2006/relationships/hyperlink" Id="rId75" Target="https://doi.org/10.1017/S1474745604001922" TargetMode="External" /><Relationship Type="http://schemas.openxmlformats.org/officeDocument/2006/relationships/hyperlink" Id="rId65" Target="https://doi.org/10.1057/jibs.2009.24" TargetMode="External" /><Relationship Type="http://schemas.openxmlformats.org/officeDocument/2006/relationships/hyperlink" Id="rId56" Target="https://doi.org/10.1057/palgrave.jibs.8400003" TargetMode="External" /><Relationship Type="http://schemas.openxmlformats.org/officeDocument/2006/relationships/hyperlink" Id="rId64" Target="https://doi.org/10.1057/palgrave.jibs.8490676" TargetMode="External" /><Relationship Type="http://schemas.openxmlformats.org/officeDocument/2006/relationships/hyperlink" Id="rId58" Target="https://doi.org/10.1057/s41267-017-0074-z" TargetMode="External" /><Relationship Type="http://schemas.openxmlformats.org/officeDocument/2006/relationships/hyperlink" Id="rId63" Target="https://doi.org/10.1086/376806" TargetMode="External" /><Relationship Type="http://schemas.openxmlformats.org/officeDocument/2006/relationships/hyperlink" Id="rId70" Target="https://doi.org/10.1111/1468-0262.00467" TargetMode="External" /><Relationship Type="http://schemas.openxmlformats.org/officeDocument/2006/relationships/hyperlink" Id="rId73" Target="https://doi.org/10.1111/etap.12088" TargetMode="External" /><Relationship Type="http://schemas.openxmlformats.org/officeDocument/2006/relationships/hyperlink" Id="rId68" Target="https://doi.org/10.1111/j.1468-0084.2009.00569.x" TargetMode="External" /><Relationship Type="http://schemas.openxmlformats.org/officeDocument/2006/relationships/hyperlink" Id="rId62" Target="https://doi.org/10.1162/qjec.2009.124.4.1403" TargetMode="External" /><Relationship Type="http://schemas.openxmlformats.org/officeDocument/2006/relationships/hyperlink" Id="rId54" Target="https://doi.org/10.1162/rest.90.3.414" TargetMode="External" /><Relationship Type="http://schemas.openxmlformats.org/officeDocument/2006/relationships/hyperlink" Id="rId57" Target="https://doi.org/10.1509/jmkr.38.2.269.18845" TargetMode="External" /><Relationship Type="http://schemas.openxmlformats.org/officeDocument/2006/relationships/hyperlink" Id="rId69" Target="https://doi.org/10.2307/20159604" TargetMode="External" /><Relationship Type="http://schemas.openxmlformats.org/officeDocument/2006/relationships/hyperlink" Id="rId55" Target="https://doi.org/10.2307/2393553" TargetMode="External" /><Relationship Type="http://schemas.openxmlformats.org/officeDocument/2006/relationships/hyperlink" Id="rId76" Target="https://doi.org/10.2307/256683" TargetMode="External" /><Relationship Type="http://schemas.openxmlformats.org/officeDocument/2006/relationships/hyperlink" Id="rId61" Target="https://doi.org/10.2307/256948" TargetMode="External" /><Relationship Type="http://schemas.openxmlformats.org/officeDocument/2006/relationships/hyperlink" Id="rId66" Target="https://doi.org/10.5465/amj.2011.59215090" TargetMode="External" /><Relationship Type="http://schemas.openxmlformats.org/officeDocument/2006/relationships/hyperlink" Id="rId48"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2026-06-20T23:41:52Z</dcterms:created>
  <dcterms:modified xsi:type="dcterms:W3CDTF">2026-06-20T23:41:52Z</dcterms:modified>
</cp:coreProperties>
</file>

<file path=docProps/custom.xml><?xml version="1.0" encoding="utf-8"?>
<Properties xmlns="http://schemas.openxmlformats.org/officeDocument/2006/custom-properties" xmlns:vt="http://schemas.openxmlformats.org/officeDocument/2006/docPropsVTypes"/>
</file>