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4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Management International Review (Springer Nature), or alternatively International Journal of Emerging Markets (Emerald).</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t xml:space="preserve">This study examines whether the inverted-U relationship between export intensity and firm productivity among Indian private firms is structurally durable across the 2014 to 2025 institutional and digital transformation decade (demonetisation, GST, IBC, UPI saturation, PLI, Atmanirbhar Bharat), and whether technological and digital capabilities moderate the threshold. Three World Bank Enterprise Survey waves for India (2014 PICS3, 2022 BEE, 2025 BREADY; analytic N = 28,717) are estimated by OLS with HC1 robust standard errors, quadratic FSTS terms, and capability interactions; Lind–Mehlum U-tests verify the inverted-U per wave and Paternoster z-tests evaluate 2014-versus-2025 coefficient equality, with the April 2016 UPI rollout providing a quasi-experiment for digital saturation. The inverted-U structurally collapses: the turning point migrates from FSTS = 61.8 per cent (2014) to 40.7 per cent (2022), and by 2025 the curvature term is insignificant (β₂ = −0.16, p = 0.42) and the relationship is monotonically negative. Paternoster z-tests reject coefficient equality for the linear (z = −7.94) and quadratic (z = +4.17) terms (both p &lt; 0.0001), and the UPI Tier-2 e-payment interaction is negative (FSTS × DAI_epay = −4.02, p = 0.004). The study provides the first firm-level evidence that extreme institutional transformation can dissolve, rather than relocate, the inverted-U threshold, identifying a previously untested scope condition for the Lu and Beamish (2004) claim: the threshold is conditional on institutional stability. The authors' earlier work (Authors, 2025) is acknowledged as prior author work.</w:t>
      </w:r>
    </w:p>
    <w:p>
      <w:pPr>
        <w:pStyle w:val="BodyText"/>
      </w:pPr>
      <w:r>
        <w:rPr>
          <w:bCs/>
          <w:b/>
        </w:rPr>
        <w:t xml:space="preserve">Keywords:</w:t>
      </w:r>
      <w:r>
        <w:t xml:space="preserve"> </w:t>
      </w:r>
      <w:r>
        <w:t xml:space="preserve">internationalisation–performance; export intensity; threshold stability; India; UPI; technological capability; institutional transformation;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exceptional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(Authors, 2025).</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(N_raw = 9,281), 2022 BEE (N_raw = 9,376), and 2025 BREADY (N_raw = 10,479); analytic samples after listwise deletion are 8,941, 9,300, and 10,476 (pooled N = 28,717).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The analysis tests a baseline inverted-U hypothesis (H1) and four directional hypotheses: a competitive pair on threshold durability (H2a institutional shift versus H2b durability), technological-capability moderation (H3a level-shifter under stability, H3b export-intensity-contingent under post-PLI redirection), and digital-capability moderation (H4a private Tier-1 moderation, H4b public Tier-2 dominance). From this set, three contributions follow. Firstly (mapping to H2),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(mapping to H4), the analysis refines the developmental-state literature on public digital infrastructure by showing that public and private digital infrastructure are complements rather than substitutes in the export production function. India's UPI rails are highly effective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(mapping to H3),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Authors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31" w:name="X8bf20a63f0decf7b16e99d564b9958ec4fbbb23"/>
    <w:p>
      <w:pPr>
        <w:pStyle w:val="Heading2"/>
      </w:pPr>
      <w:r>
        <w:t xml:space="preserve">2. Theory and Hypotheses</w:t>
      </w:r>
    </w:p>
    <w:bookmarkStart w:id="23" w:name="Xcec8abb30929305ffaf22433e6006159dcafc70"/>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Concurrent with this study, Hutzschenreuter, Kleindienst, Sengupta and Verbeke (2026) report an inverted-U relationship between added cultural distance and performance in 109 Indian MNEs tracked over 6–31 years post-1991 liberalisation, attributing the threshold to a meta-bounded-rationality challenge: senior managers underestimate how the aggregate of multiple international investment steps overwhelms managerial capacity. Their finding establishes the generalisability of the inverted-U claim outside the German Hutzschenreuter and Voll (2008) baseline and supplies a Penrosean micro-foundation that complements the institutional argument advanced below.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318c1fea634a10967c98191445c5d08ccb10924"/>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exceptional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X060d31242d4306baafc5e03914e6254ae49e087"/>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0ff06f102d45fcb8fa4478a82f55fd8f58f23cc"/>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rarely matched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30" w:name="Xd220370935321604b8cdfc5a5895802593c0b72"/>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BodyText"/>
      </w:pPr>
      <w:r>
        <w:drawing>
          <wp:inline>
            <wp:extent cx="5753100" cy="4351703"/>
            <wp:effectExtent b="0" l="0" r="0" t="0"/>
            <wp:docPr descr="Figure 1. Conceptual model: conditional inverted-U with capability moderation under institutional scope condition." title="" id="28" name="Picture"/>
            <a:graphic>
              <a:graphicData uri="http://schemas.openxmlformats.org/drawingml/2006/picture">
                <pic:pic>
                  <pic:nvPicPr>
                    <pic:cNvPr descr="/home/user/MY_THESIS_PHD_CANDIDATE_26/p9_india/replication/figures/figure_1_conceptual_model.png" id="29" name="Picture"/>
                    <pic:cNvPicPr>
                      <a:picLocks noChangeArrowheads="1" noChangeAspect="1"/>
                    </pic:cNvPicPr>
                  </pic:nvPicPr>
                  <pic:blipFill>
                    <a:blip r:embed="rId27"/>
                    <a:stretch>
                      <a:fillRect/>
                    </a:stretch>
                  </pic:blipFill>
                  <pic:spPr bwMode="auto">
                    <a:xfrm>
                      <a:off x="0" y="0"/>
                      <a:ext cx="5753100" cy="4351703"/>
                    </a:xfrm>
                    <a:prstGeom prst="rect">
                      <a:avLst/>
                    </a:prstGeom>
                    <a:noFill/>
                    <a:ln w="9525">
                      <a:noFill/>
                      <a:headEnd/>
                      <a:tailEnd/>
                    </a:ln>
                  </pic:spPr>
                </pic:pic>
              </a:graphicData>
            </a:graphic>
          </wp:inline>
        </w:drawing>
      </w:r>
      <w:r>
        <w:t xml:space="preserve">{width=6.5in}</w:t>
      </w:r>
    </w:p>
    <w:bookmarkEnd w:id="30"/>
    <w:bookmarkEnd w:id="31"/>
    <w:bookmarkStart w:id="37" w:name="X5eb800a903106e48a684e9ea9de39ed619b9df8"/>
    <w:p>
      <w:pPr>
        <w:pStyle w:val="Heading2"/>
      </w:pPr>
      <w:r>
        <w:t xml:space="preserve">3. Data and Methods</w:t>
      </w:r>
    </w:p>
    <w:bookmarkStart w:id="33" w:name="Xe44c7198c5f456f0b96f26ab6247749e5a25829"/>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w:t>
      </w:r>
      <w:r>
        <w:t xml:space="preserve"> </w:t>
      </w:r>
      <w:hyperlink r:id="rId32">
        <w:r>
          <w:rPr>
            <w:rStyle w:val="Hyperlink"/>
          </w:rPr>
          <w:t xml:space="preserve">https://www.enterprisesurveys.org</w:t>
        </w:r>
      </w:hyperlink>
      <w:r>
        <w:t xml:space="preserve"> </w:t>
      </w:r>
      <w:r>
        <w:t xml:space="preserve">subject to World Bank registration.</w:t>
      </w:r>
    </w:p>
    <w:bookmarkEnd w:id="33"/>
    <w:bookmarkStart w:id="34" w:name="Xbcf9f12e79107fa2c089aaf13fc6c4fb773f1c2"/>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4"/>
    <w:bookmarkStart w:id="35" w:name="X4b795af974b5b07f42f16cec52da76c45fb8d2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5"/>
    <w:bookmarkStart w:id="36" w:name="Xfcfef551bab64293bca084b9d423d059a51f3c8"/>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 "monotone or U" 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6"/>
    <w:bookmarkEnd w:id="37"/>
    <w:bookmarkStart w:id="53"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Sample sizes after listwise deletion on focal variables and firmage validation (capped at [0,150]):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Table 1.</w:t>
      </w:r>
      <w:r>
        <w:t xml:space="preserve"> </w:t>
      </w:r>
      <w:r>
        <w:t xml:space="preserve">Descriptive statistics by WBES wave, India 2014–2025.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right"/>
            </w:pPr>
            <w:r>
              <w:t xml:space="preserve">2014 (N=8,941)</w:t>
            </w:r>
          </w:p>
        </w:tc>
        <w:tc>
          <w:tcPr/>
          <w:p>
            <w:pPr>
              <w:pStyle w:val="Compact"/>
              <w:jc w:val="right"/>
            </w:pPr>
            <w:r>
              <w:t xml:space="preserve">2022 (N=9,300)</w:t>
            </w:r>
          </w:p>
        </w:tc>
        <w:tc>
          <w:tcPr/>
          <w:p>
            <w:pPr>
              <w:pStyle w:val="Compact"/>
              <w:jc w:val="right"/>
            </w:pPr>
            <w:r>
              <w:t xml:space="preserve">2025 (N=10,476)</w:t>
            </w:r>
          </w:p>
        </w:tc>
      </w:tr>
      <w:tr>
        <w:tc>
          <w:tcPr/>
          <w:p>
            <w:pPr>
              <w:pStyle w:val="Compact"/>
              <w:jc w:val="left"/>
            </w:pPr>
            <w:r>
              <w:t xml:space="preserve">ln(Labour Productivity)</w:t>
            </w:r>
          </w:p>
        </w:tc>
        <w:tc>
          <w:tcPr/>
          <w:p>
            <w:pPr>
              <w:pStyle w:val="Compact"/>
              <w:jc w:val="right"/>
            </w:pPr>
            <w:r>
              <w:t xml:space="preserve">13.929 (1.263)</w:t>
            </w:r>
          </w:p>
        </w:tc>
        <w:tc>
          <w:tcPr/>
          <w:p>
            <w:pPr>
              <w:pStyle w:val="Compact"/>
              <w:jc w:val="right"/>
            </w:pPr>
            <w:r>
              <w:t xml:space="preserve">14.366 (1.214)</w:t>
            </w:r>
          </w:p>
        </w:tc>
        <w:tc>
          <w:tcPr/>
          <w:p>
            <w:pPr>
              <w:pStyle w:val="Compact"/>
              <w:jc w:val="right"/>
            </w:pPr>
            <w:r>
              <w:t xml:space="preserve">15.012 (0.845)</w:t>
            </w:r>
          </w:p>
        </w:tc>
      </w:tr>
      <w:tr>
        <w:tc>
          <w:tcPr/>
          <w:p>
            <w:pPr>
              <w:pStyle w:val="Compact"/>
              <w:jc w:val="left"/>
            </w:pPr>
            <w:r>
              <w:t xml:space="preserve">Export intensity (FSTS, 0-1)</w:t>
            </w:r>
          </w:p>
        </w:tc>
        <w:tc>
          <w:tcPr/>
          <w:p>
            <w:pPr>
              <w:pStyle w:val="Compact"/>
              <w:jc w:val="right"/>
            </w:pPr>
            <w:r>
              <w:t xml:space="preserve">0.072 (0.219)</w:t>
            </w:r>
          </w:p>
        </w:tc>
        <w:tc>
          <w:tcPr/>
          <w:p>
            <w:pPr>
              <w:pStyle w:val="Compact"/>
              <w:jc w:val="right"/>
            </w:pPr>
            <w:r>
              <w:t xml:space="preserve">0.080 (0.235)</w:t>
            </w:r>
          </w:p>
        </w:tc>
        <w:tc>
          <w:tcPr/>
          <w:p>
            <w:pPr>
              <w:pStyle w:val="Compact"/>
              <w:jc w:val="right"/>
            </w:pPr>
            <w:r>
              <w:t xml:space="preserve">0.027 (0.115)</w:t>
            </w:r>
          </w:p>
        </w:tc>
      </w:tr>
      <w:tr>
        <w:tc>
          <w:tcPr/>
          <w:p>
            <w:pPr>
              <w:pStyle w:val="Compact"/>
              <w:jc w:val="left"/>
            </w:pPr>
            <w:r>
              <w:t xml:space="preserve">Technological Capability Index (z)</w:t>
            </w:r>
          </w:p>
        </w:tc>
        <w:tc>
          <w:tcPr/>
          <w:p>
            <w:pPr>
              <w:pStyle w:val="Compact"/>
              <w:jc w:val="right"/>
            </w:pPr>
            <w:r>
              <w:t xml:space="preserve">-0.005 (0.999)</w:t>
            </w:r>
          </w:p>
        </w:tc>
        <w:tc>
          <w:tcPr/>
          <w:p>
            <w:pPr>
              <w:pStyle w:val="Compact"/>
              <w:jc w:val="right"/>
            </w:pPr>
            <w:r>
              <w:t xml:space="preserve">0.000 (1.001)</w:t>
            </w:r>
          </w:p>
        </w:tc>
        <w:tc>
          <w:tcPr/>
          <w:p>
            <w:pPr>
              <w:pStyle w:val="Compact"/>
              <w:jc w:val="right"/>
            </w:pPr>
            <w:r>
              <w:t xml:space="preserve">0.000 (1.000)</w:t>
            </w:r>
          </w:p>
        </w:tc>
      </w:tr>
      <w:tr>
        <w:tc>
          <w:tcPr/>
          <w:p>
            <w:pPr>
              <w:pStyle w:val="Compact"/>
              <w:jc w:val="left"/>
            </w:pPr>
            <w:r>
              <w:t xml:space="preserve">DAI Tier-1 (website binary)</w:t>
            </w:r>
          </w:p>
        </w:tc>
        <w:tc>
          <w:tcPr/>
          <w:p>
            <w:pPr>
              <w:pStyle w:val="Compact"/>
              <w:jc w:val="right"/>
            </w:pPr>
            <w:r>
              <w:t xml:space="preserve">0.526 (0.499)</w:t>
            </w:r>
          </w:p>
        </w:tc>
        <w:tc>
          <w:tcPr/>
          <w:p>
            <w:pPr>
              <w:pStyle w:val="Compact"/>
              <w:jc w:val="right"/>
            </w:pPr>
            <w:r>
              <w:t xml:space="preserve">0.606 (0.489)</w:t>
            </w:r>
          </w:p>
        </w:tc>
        <w:tc>
          <w:tcPr/>
          <w:p>
            <w:pPr>
              <w:pStyle w:val="Compact"/>
              <w:jc w:val="right"/>
            </w:pPr>
            <w:r>
              <w:t xml:space="preserve">0.418 (0.493)</w:t>
            </w:r>
          </w:p>
        </w:tc>
      </w:tr>
      <w:tr>
        <w:tc>
          <w:tcPr/>
          <w:p>
            <w:pPr>
              <w:pStyle w:val="Compact"/>
              <w:jc w:val="left"/>
            </w:pPr>
            <w:r>
              <w:t xml:space="preserve">DAI Tier-2 (e-payment,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0.658 (0.148)</w:t>
            </w:r>
          </w:p>
        </w:tc>
      </w:tr>
      <w:tr>
        <w:tc>
          <w:tcPr/>
          <w:p>
            <w:pPr>
              <w:pStyle w:val="Compact"/>
              <w:jc w:val="left"/>
            </w:pPr>
            <w:r>
              <w:t xml:space="preserve">ln(Permanent full-time employees)</w:t>
            </w:r>
          </w:p>
        </w:tc>
        <w:tc>
          <w:tcPr/>
          <w:p>
            <w:pPr>
              <w:pStyle w:val="Compact"/>
              <w:jc w:val="right"/>
            </w:pPr>
            <w:r>
              <w:t xml:space="preserve">3.635 (1.292)</w:t>
            </w:r>
          </w:p>
        </w:tc>
        <w:tc>
          <w:tcPr/>
          <w:p>
            <w:pPr>
              <w:pStyle w:val="Compact"/>
              <w:jc w:val="right"/>
            </w:pPr>
            <w:r>
              <w:t xml:space="preserve">3.640 (1.358)</w:t>
            </w:r>
          </w:p>
        </w:tc>
        <w:tc>
          <w:tcPr/>
          <w:p>
            <w:pPr>
              <w:pStyle w:val="Compact"/>
              <w:jc w:val="right"/>
            </w:pPr>
            <w:r>
              <w:t xml:space="preserve">3.669 (1.275)</w:t>
            </w:r>
          </w:p>
        </w:tc>
      </w:tr>
      <w:tr>
        <w:tc>
          <w:tcPr/>
          <w:p>
            <w:pPr>
              <w:pStyle w:val="Compact"/>
              <w:jc w:val="left"/>
            </w:pPr>
            <w:r>
              <w:t xml:space="preserve">Firm age (years)</w:t>
            </w:r>
          </w:p>
        </w:tc>
        <w:tc>
          <w:tcPr/>
          <w:p>
            <w:pPr>
              <w:pStyle w:val="Compact"/>
              <w:jc w:val="right"/>
            </w:pPr>
            <w:r>
              <w:t xml:space="preserve">19.627 (14.162)</w:t>
            </w:r>
          </w:p>
        </w:tc>
        <w:tc>
          <w:tcPr/>
          <w:p>
            <w:pPr>
              <w:pStyle w:val="Compact"/>
              <w:jc w:val="right"/>
            </w:pPr>
            <w:r>
              <w:t xml:space="preserve">22.750 (14.957)</w:t>
            </w:r>
          </w:p>
        </w:tc>
        <w:tc>
          <w:tcPr/>
          <w:p>
            <w:pPr>
              <w:pStyle w:val="Compact"/>
              <w:jc w:val="right"/>
            </w:pPr>
            <w:r>
              <w:t xml:space="preserve">19.753 (14.316)</w:t>
            </w:r>
          </w:p>
        </w:tc>
      </w:tr>
      <w:tr>
        <w:tc>
          <w:tcPr/>
          <w:p>
            <w:pPr>
              <w:pStyle w:val="Compact"/>
              <w:jc w:val="left"/>
            </w:pPr>
            <w:r>
              <w:t xml:space="preserve">Foreign-owned (≥ 10 % foreign equity)</w:t>
            </w:r>
          </w:p>
        </w:tc>
        <w:tc>
          <w:tcPr/>
          <w:p>
            <w:pPr>
              <w:pStyle w:val="Compact"/>
              <w:jc w:val="right"/>
            </w:pPr>
            <w:r>
              <w:t xml:space="preserve">0.009 (0.092)</w:t>
            </w:r>
          </w:p>
        </w:tc>
        <w:tc>
          <w:tcPr/>
          <w:p>
            <w:pPr>
              <w:pStyle w:val="Compact"/>
              <w:jc w:val="right"/>
            </w:pPr>
            <w:r>
              <w:t xml:space="preserve">0.014 (0.116)</w:t>
            </w:r>
          </w:p>
        </w:tc>
        <w:tc>
          <w:tcPr/>
          <w:p>
            <w:pPr>
              <w:pStyle w:val="Compact"/>
              <w:jc w:val="right"/>
            </w:pPr>
            <w:r>
              <w:t xml:space="preserve">0.019 (0.137)</w:t>
            </w:r>
          </w:p>
        </w:tc>
      </w:tr>
    </w:tbl>
    <w:p>
      <w:pPr>
        <w:pStyle w:val="BodyText"/>
      </w:pPr>
      <w:r>
        <w:rPr>
          <w:iCs/>
          <w:i/>
        </w:rPr>
        <w:t xml:space="preserve">Note: Cell entries are mean (standard deviation). FSTS is direct plus indirect exports as a share of total sales. TCI is the z-standardised mean of four binary capability items (quality certification, foreign technology licence, product innovation, R&amp;D activity), available for firms responding to at least three items. DAI Tier-2 (e-payment share) is measured only in the 2025 BREADY wave.</w:t>
      </w:r>
    </w:p>
    <w:bookmarkEnd w:id="38"/>
    <w:bookmarkStart w:id="42" w:name="X3623da6fd251cdd708736906f4e561251a5ae18"/>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Table 2.</w:t>
      </w:r>
      <w:r>
        <w:t xml:space="preserve"> </w:t>
      </w:r>
      <w:r>
        <w:t xml:space="preserve">Wave-by-wave OLS estimates of the inverted-U M2 specification (HC1 and state-clustered SE).</w:t>
      </w:r>
    </w:p>
    <w:p>
      <w:pPr>
        <w:pStyle w:val="BodyText"/>
      </w:pPr>
      <w:r>
        <w:t xml:space="preserve">Dependent variable: ln(Labour Productivity)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2014</w:t>
            </w:r>
          </w:p>
        </w:tc>
        <w:tc>
          <w:tcPr/>
          <w:p>
            <w:pPr>
              <w:pStyle w:val="Compact"/>
              <w:jc w:val="right"/>
            </w:pPr>
            <w:r>
              <w:t xml:space="preserve">2022</w:t>
            </w:r>
          </w:p>
        </w:tc>
        <w:tc>
          <w:tcPr/>
          <w:p>
            <w:pPr>
              <w:pStyle w:val="Compact"/>
              <w:jc w:val="right"/>
            </w:pPr>
            <w:r>
              <w:t xml:space="preserve">2025</w:t>
            </w:r>
          </w:p>
        </w:tc>
      </w:tr>
      <w:tr>
        <w:tc>
          <w:tcPr/>
          <w:p>
            <w:pPr>
              <w:pStyle w:val="Compact"/>
              <w:jc w:val="left"/>
            </w:pPr>
            <w:r>
              <w:t xml:space="preserve">FSTS</w:t>
            </w:r>
          </w:p>
        </w:tc>
        <w:tc>
          <w:tcPr/>
          <w:p>
            <w:pPr>
              <w:pStyle w:val="Compact"/>
              <w:jc w:val="right"/>
            </w:pPr>
            <w:r>
              <w:t xml:space="preserve">+1.865***</w:t>
            </w:r>
          </w:p>
        </w:tc>
        <w:tc>
          <w:tcPr/>
          <w:p>
            <w:pPr>
              <w:pStyle w:val="Compact"/>
              <w:jc w:val="right"/>
            </w:pPr>
            <w:r>
              <w:t xml:space="preserve">+1.542***</w:t>
            </w:r>
          </w:p>
        </w:tc>
        <w:tc>
          <w:tcPr/>
          <w:p>
            <w:pPr>
              <w:pStyle w:val="Compact"/>
              <w:jc w:val="right"/>
            </w:pPr>
            <w:r>
              <w:t xml:space="preserve">-0.359*</w:t>
            </w:r>
          </w:p>
        </w:tc>
      </w:tr>
      <w:tr>
        <w:tc>
          <w:tcPr/>
          <w:p>
            <w:pPr>
              <w:pStyle w:val="Compact"/>
            </w:pPr>
          </w:p>
        </w:tc>
        <w:tc>
          <w:tcPr/>
          <w:p>
            <w:pPr>
              <w:pStyle w:val="Compact"/>
              <w:jc w:val="right"/>
            </w:pPr>
            <w:r>
              <w:t xml:space="preserve">(0.235)</w:t>
            </w:r>
          </w:p>
        </w:tc>
        <w:tc>
          <w:tcPr/>
          <w:p>
            <w:pPr>
              <w:pStyle w:val="Compact"/>
              <w:jc w:val="right"/>
            </w:pPr>
            <w:r>
              <w:t xml:space="preserve">(0.223)</w:t>
            </w:r>
          </w:p>
        </w:tc>
        <w:tc>
          <w:tcPr/>
          <w:p>
            <w:pPr>
              <w:pStyle w:val="Compact"/>
              <w:jc w:val="right"/>
            </w:pPr>
            <w:r>
              <w:t xml:space="preserve">(0.153)</w:t>
            </w:r>
          </w:p>
        </w:tc>
      </w:tr>
      <w:tr>
        <w:tc>
          <w:tcPr/>
          <w:p>
            <w:pPr>
              <w:pStyle w:val="Compact"/>
            </w:pPr>
          </w:p>
        </w:tc>
        <w:tc>
          <w:tcPr/>
          <w:p>
            <w:pPr>
              <w:pStyle w:val="Compact"/>
              <w:jc w:val="right"/>
            </w:pPr>
            <w:r>
              <w:t xml:space="preserve">[0.552]***</w:t>
            </w:r>
          </w:p>
        </w:tc>
        <w:tc>
          <w:tcPr/>
          <w:p>
            <w:pPr>
              <w:pStyle w:val="Compact"/>
              <w:jc w:val="right"/>
            </w:pPr>
            <w:r>
              <w:t xml:space="preserve">[0.550]**</w:t>
            </w:r>
          </w:p>
        </w:tc>
        <w:tc>
          <w:tcPr/>
          <w:p>
            <w:pPr>
              <w:pStyle w:val="Compact"/>
              <w:jc w:val="right"/>
            </w:pPr>
            <w:r>
              <w:t xml:space="preserve">[0.314]</w:t>
            </w:r>
          </w:p>
        </w:tc>
      </w:tr>
      <w:tr>
        <w:tc>
          <w:tcPr/>
          <w:p>
            <w:pPr>
              <w:pStyle w:val="Compact"/>
              <w:jc w:val="left"/>
            </w:pPr>
            <w:r>
              <w:t xml:space="preserve">FSTS²</w:t>
            </w:r>
          </w:p>
        </w:tc>
        <w:tc>
          <w:tcPr/>
          <w:p>
            <w:pPr>
              <w:pStyle w:val="Compact"/>
              <w:jc w:val="right"/>
            </w:pPr>
            <w:r>
              <w:t xml:space="preserve">-1.508***</w:t>
            </w:r>
          </w:p>
        </w:tc>
        <w:tc>
          <w:tcPr/>
          <w:p>
            <w:pPr>
              <w:pStyle w:val="Compact"/>
              <w:jc w:val="right"/>
            </w:pPr>
            <w:r>
              <w:t xml:space="preserve">-1.893***</w:t>
            </w:r>
          </w:p>
        </w:tc>
        <w:tc>
          <w:tcPr/>
          <w:p>
            <w:pPr>
              <w:pStyle w:val="Compact"/>
              <w:jc w:val="right"/>
            </w:pPr>
            <w:r>
              <w:t xml:space="preserve">-0.160</w:t>
            </w:r>
          </w:p>
        </w:tc>
      </w:tr>
      <w:tr>
        <w:tc>
          <w:tcPr/>
          <w:p>
            <w:pPr>
              <w:pStyle w:val="Compact"/>
            </w:pPr>
          </w:p>
        </w:tc>
        <w:tc>
          <w:tcPr/>
          <w:p>
            <w:pPr>
              <w:pStyle w:val="Compact"/>
              <w:jc w:val="right"/>
            </w:pPr>
            <w:r>
              <w:t xml:space="preserve">(0.254)</w:t>
            </w:r>
          </w:p>
        </w:tc>
        <w:tc>
          <w:tcPr/>
          <w:p>
            <w:pPr>
              <w:pStyle w:val="Compact"/>
              <w:jc w:val="right"/>
            </w:pPr>
            <w:r>
              <w:t xml:space="preserve">(0.239)</w:t>
            </w:r>
          </w:p>
        </w:tc>
        <w:tc>
          <w:tcPr/>
          <w:p>
            <w:pPr>
              <w:pStyle w:val="Compact"/>
              <w:jc w:val="right"/>
            </w:pPr>
            <w:r>
              <w:t xml:space="preserve">(0.199)</w:t>
            </w:r>
          </w:p>
        </w:tc>
      </w:tr>
      <w:tr>
        <w:tc>
          <w:tcPr/>
          <w:p>
            <w:pPr>
              <w:pStyle w:val="Compact"/>
            </w:pPr>
          </w:p>
        </w:tc>
        <w:tc>
          <w:tcPr/>
          <w:p>
            <w:pPr>
              <w:pStyle w:val="Compact"/>
              <w:jc w:val="right"/>
            </w:pPr>
            <w:r>
              <w:t xml:space="preserve">[0.539]**</w:t>
            </w:r>
          </w:p>
        </w:tc>
        <w:tc>
          <w:tcPr/>
          <w:p>
            <w:pPr>
              <w:pStyle w:val="Compact"/>
              <w:jc w:val="right"/>
            </w:pPr>
            <w:r>
              <w:t xml:space="preserve">[0.532]***</w:t>
            </w:r>
          </w:p>
        </w:tc>
        <w:tc>
          <w:tcPr/>
          <w:p>
            <w:pPr>
              <w:pStyle w:val="Compact"/>
              <w:jc w:val="right"/>
            </w:pPr>
            <w:r>
              <w:t xml:space="preserve">[0.299]</w:t>
            </w:r>
          </w:p>
        </w:tc>
      </w:tr>
      <w:tr>
        <w:tc>
          <w:tcPr/>
          <w:p>
            <w:pPr>
              <w:pStyle w:val="Compact"/>
              <w:jc w:val="left"/>
            </w:pPr>
            <w:r>
              <w:t xml:space="preserve">ln(Employees)</w:t>
            </w:r>
          </w:p>
        </w:tc>
        <w:tc>
          <w:tcPr/>
          <w:p>
            <w:pPr>
              <w:pStyle w:val="Compact"/>
              <w:jc w:val="right"/>
            </w:pPr>
            <w:r>
              <w:t xml:space="preserve">+0.101***</w:t>
            </w:r>
          </w:p>
        </w:tc>
        <w:tc>
          <w:tcPr/>
          <w:p>
            <w:pPr>
              <w:pStyle w:val="Compact"/>
              <w:jc w:val="right"/>
            </w:pPr>
            <w:r>
              <w:t xml:space="preserve">+0.244***</w:t>
            </w:r>
          </w:p>
        </w:tc>
        <w:tc>
          <w:tcPr/>
          <w:p>
            <w:pPr>
              <w:pStyle w:val="Compact"/>
              <w:jc w:val="right"/>
            </w:pPr>
            <w:r>
              <w:t xml:space="preserve">+0.214***</w:t>
            </w:r>
          </w:p>
        </w:tc>
      </w:tr>
      <w:tr>
        <w:tc>
          <w:tcPr/>
          <w:p>
            <w:pPr>
              <w:pStyle w:val="Compact"/>
            </w:pPr>
          </w:p>
        </w:tc>
        <w:tc>
          <w:tcPr/>
          <w:p>
            <w:pPr>
              <w:pStyle w:val="Compact"/>
              <w:jc w:val="right"/>
            </w:pPr>
            <w:r>
              <w:t xml:space="preserve">(0.011)</w:t>
            </w:r>
          </w:p>
        </w:tc>
        <w:tc>
          <w:tcPr/>
          <w:p>
            <w:pPr>
              <w:pStyle w:val="Compact"/>
              <w:jc w:val="right"/>
            </w:pPr>
            <w:r>
              <w:t xml:space="preserve">(0.009)</w:t>
            </w:r>
          </w:p>
        </w:tc>
        <w:tc>
          <w:tcPr/>
          <w:p>
            <w:pPr>
              <w:pStyle w:val="Compact"/>
              <w:jc w:val="right"/>
            </w:pPr>
            <w:r>
              <w:t xml:space="preserve">(0.007)</w:t>
            </w:r>
          </w:p>
        </w:tc>
      </w:tr>
      <w:tr>
        <w:tc>
          <w:tcPr/>
          <w:p>
            <w:pPr>
              <w:pStyle w:val="Compact"/>
              <w:jc w:val="left"/>
            </w:pPr>
            <w:r>
              <w:t xml:space="preserve">Firm age</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-0.000</w:t>
            </w:r>
          </w:p>
        </w:tc>
      </w:tr>
      <w:tr>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(0.001)</w:t>
            </w:r>
          </w:p>
        </w:tc>
      </w:tr>
      <w:tr>
        <w:tc>
          <w:tcPr/>
          <w:p>
            <w:pPr>
              <w:pStyle w:val="Compact"/>
              <w:jc w:val="left"/>
            </w:pPr>
            <w:r>
              <w:t xml:space="preserve">Foreign-owned</w:t>
            </w:r>
          </w:p>
        </w:tc>
        <w:tc>
          <w:tcPr/>
          <w:p>
            <w:pPr>
              <w:pStyle w:val="Compact"/>
              <w:jc w:val="right"/>
            </w:pPr>
            <w:r>
              <w:t xml:space="preserve">+0.403*</w:t>
            </w:r>
          </w:p>
        </w:tc>
        <w:tc>
          <w:tcPr/>
          <w:p>
            <w:pPr>
              <w:pStyle w:val="Compact"/>
              <w:jc w:val="right"/>
            </w:pPr>
            <w:r>
              <w:t xml:space="preserve">+0.252*</w:t>
            </w:r>
          </w:p>
        </w:tc>
        <w:tc>
          <w:tcPr/>
          <w:p>
            <w:pPr>
              <w:pStyle w:val="Compact"/>
              <w:jc w:val="right"/>
            </w:pPr>
            <w:r>
              <w:t xml:space="preserve">+0.249***</w:t>
            </w:r>
          </w:p>
        </w:tc>
      </w:tr>
      <w:tr>
        <w:tc>
          <w:tcPr/>
          <w:p>
            <w:pPr>
              <w:pStyle w:val="Compact"/>
            </w:pPr>
          </w:p>
        </w:tc>
        <w:tc>
          <w:tcPr/>
          <w:p>
            <w:pPr>
              <w:pStyle w:val="Compact"/>
              <w:jc w:val="right"/>
            </w:pPr>
            <w:r>
              <w:t xml:space="preserve">(0.174)</w:t>
            </w:r>
          </w:p>
        </w:tc>
        <w:tc>
          <w:tcPr/>
          <w:p>
            <w:pPr>
              <w:pStyle w:val="Compact"/>
              <w:jc w:val="right"/>
            </w:pPr>
            <w:r>
              <w:t xml:space="preserve">(0.109)</w:t>
            </w:r>
          </w:p>
        </w:tc>
        <w:tc>
          <w:tcPr/>
          <w:p>
            <w:pPr>
              <w:pStyle w:val="Compact"/>
              <w:jc w:val="right"/>
            </w:pPr>
            <w:r>
              <w:t xml:space="preserve">(0.058)</w:t>
            </w:r>
          </w:p>
        </w:tc>
      </w:tr>
      <w:tr>
        <w:tc>
          <w:tcPr/>
          <w:p>
            <w:pPr>
              <w:pStyle w:val="Compact"/>
              <w:jc w:val="left"/>
            </w:pPr>
            <w:r>
              <w:t xml:space="preserve">Constant</w:t>
            </w:r>
          </w:p>
        </w:tc>
        <w:tc>
          <w:tcPr/>
          <w:p>
            <w:pPr>
              <w:pStyle w:val="Compact"/>
              <w:jc w:val="right"/>
            </w:pPr>
            <w:r>
              <w:t xml:space="preserve">+13.528***</w:t>
            </w:r>
          </w:p>
        </w:tc>
        <w:tc>
          <w:tcPr/>
          <w:p>
            <w:pPr>
              <w:pStyle w:val="Compact"/>
              <w:jc w:val="right"/>
            </w:pPr>
            <w:r>
              <w:t xml:space="preserve">+13.463***</w:t>
            </w:r>
          </w:p>
        </w:tc>
        <w:tc>
          <w:tcPr/>
          <w:p>
            <w:pPr>
              <w:pStyle w:val="Compact"/>
              <w:jc w:val="right"/>
            </w:pPr>
            <w:r>
              <w:t xml:space="preserve">+14.235***</w:t>
            </w:r>
          </w:p>
        </w:tc>
      </w:tr>
      <w:tr>
        <w:tc>
          <w:tcPr/>
          <w:p>
            <w:pPr>
              <w:pStyle w:val="Compact"/>
            </w:pP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(0.024)</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r>
      <w:tr>
        <w:tc>
          <w:tcPr/>
          <w:p>
            <w:pPr>
              <w:pStyle w:val="Compact"/>
              <w:jc w:val="left"/>
            </w:pPr>
            <w:r>
              <w:t xml:space="preserve">R²_adj</w:t>
            </w:r>
          </w:p>
        </w:tc>
        <w:tc>
          <w:tcPr/>
          <w:p>
            <w:pPr>
              <w:pStyle w:val="Compact"/>
              <w:jc w:val="right"/>
            </w:pPr>
            <w:r>
              <w:t xml:space="preserve">0.0313</w:t>
            </w:r>
          </w:p>
        </w:tc>
        <w:tc>
          <w:tcPr/>
          <w:p>
            <w:pPr>
              <w:pStyle w:val="Compact"/>
              <w:jc w:val="right"/>
            </w:pPr>
            <w:r>
              <w:t xml:space="preserve">0.0933</w:t>
            </w:r>
          </w:p>
        </w:tc>
        <w:tc>
          <w:tcPr/>
          <w:p>
            <w:pPr>
              <w:pStyle w:val="Compact"/>
              <w:jc w:val="right"/>
            </w:pPr>
            <w:r>
              <w:t xml:space="preserve">0.1023</w:t>
            </w:r>
          </w:p>
        </w:tc>
      </w:tr>
      <w:tr>
        <w:tc>
          <w:tcPr/>
          <w:p>
            <w:pPr>
              <w:pStyle w:val="Compact"/>
              <w:jc w:val="left"/>
            </w:pPr>
            <w:r>
              <w:t xml:space="preserve">Turning point (%)</w:t>
            </w:r>
          </w:p>
        </w:tc>
        <w:tc>
          <w:tcPr/>
          <w:p>
            <w:pPr>
              <w:pStyle w:val="Compact"/>
              <w:jc w:val="right"/>
            </w:pPr>
            <w:r>
              <w:t xml:space="preserve">61.8</w:t>
            </w:r>
          </w:p>
        </w:tc>
        <w:tc>
          <w:tcPr/>
          <w:p>
            <w:pPr>
              <w:pStyle w:val="Compact"/>
              <w:jc w:val="right"/>
            </w:pPr>
            <w:r>
              <w:t xml:space="preserve">40.7</w:t>
            </w:r>
          </w:p>
        </w:tc>
        <w:tc>
          <w:tcPr/>
          <w:p>
            <w:pPr>
              <w:pStyle w:val="Compact"/>
              <w:jc w:val="right"/>
            </w:pPr>
            <w:r>
              <w:t xml:space="preserve">n/a</w:t>
            </w:r>
          </w:p>
        </w:tc>
      </w:tr>
      <w:tr>
        <w:tc>
          <w:tcPr/>
          <w:p>
            <w:pPr>
              <w:pStyle w:val="Compact"/>
              <w:jc w:val="left"/>
            </w:pPr>
            <w:r>
              <w:t xml:space="preserve">Lind–Mehlum inverted-U</w:t>
            </w:r>
          </w:p>
        </w:tc>
        <w:tc>
          <w:tcPr/>
          <w:p>
            <w:pPr>
              <w:pStyle w:val="Compact"/>
              <w:jc w:val="right"/>
            </w:pPr>
            <w:r>
              <w:t xml:space="preserve">Yes (p = 0.0000)</w:t>
            </w:r>
          </w:p>
        </w:tc>
        <w:tc>
          <w:tcPr/>
          <w:p>
            <w:pPr>
              <w:pStyle w:val="Compact"/>
              <w:jc w:val="right"/>
            </w:pPr>
            <w:r>
              <w:t xml:space="preserve">Yes (p = 0.0000)</w:t>
            </w:r>
          </w:p>
        </w:tc>
        <w:tc>
          <w:tcPr/>
          <w:p>
            <w:pPr>
              <w:pStyle w:val="Compact"/>
              <w:jc w:val="right"/>
            </w:pPr>
            <w:r>
              <w:t xml:space="preserve">No (p = 0.9907)</w:t>
            </w:r>
          </w:p>
        </w:tc>
      </w:tr>
    </w:tbl>
    <w:p>
      <w:pPr>
        <w:pStyle w:val="BodyText"/>
      </w:pPr>
      <w:r>
        <w:rPr>
          <w:iCs/>
          <w:i/>
        </w:rPr>
        <w:t xml:space="preserve">Note: Coefficients with HC1 robust standard errors in parentheses on the second row; state-clustered standard errors (Cameron et al., 2008; ~24 clusters per wave) in brackets on the third row for FSTS and FSTS² terms. Significance under each SE: † p &lt; 0.10, * p &lt; 0.05, ** p &lt; 0.01, *** p &lt; 0.001. Turning point computed as TP = −β̂₁ / (2β̂₂); reported only for waves with inverted-U supported in Lind–Mehlum test.</w:t>
      </w:r>
    </w:p>
    <w:p>
      <w:pPr>
        <w:pStyle w:val="BodyText"/>
      </w:pPr>
      <w:r>
        <w:drawing>
          <wp:inline>
            <wp:extent cx="5753100" cy="3376880"/>
            <wp:effectExtent b="0" l="0" r="0" t="0"/>
            <wp:docPr descr="Figure 2. Wave-specific predicted I-P relationship: India 2014, 2022, 2025." title="" id="40" name="Picture"/>
            <a:graphic>
              <a:graphicData uri="http://schemas.openxmlformats.org/drawingml/2006/picture">
                <pic:pic>
                  <pic:nvPicPr>
                    <pic:cNvPr descr="/home/user/MY_THESIS_PHD_CANDIDATE_26/p9_india/replication/figures/figure_2_predicted_curves.png" id="41" name="Picture"/>
                    <pic:cNvPicPr>
                      <a:picLocks noChangeArrowheads="1" noChangeAspect="1"/>
                    </pic:cNvPicPr>
                  </pic:nvPicPr>
                  <pic:blipFill>
                    <a:blip r:embed="rId39"/>
                    <a:stretch>
                      <a:fillRect/>
                    </a:stretch>
                  </pic:blipFill>
                  <pic:spPr bwMode="auto">
                    <a:xfrm>
                      <a:off x="0" y="0"/>
                      <a:ext cx="5753100" cy="3376880"/>
                    </a:xfrm>
                    <a:prstGeom prst="rect">
                      <a:avLst/>
                    </a:prstGeom>
                    <a:noFill/>
                    <a:ln w="9525">
                      <a:noFill/>
                      <a:headEnd/>
                      <a:tailEnd/>
                    </a:ln>
                  </pic:spPr>
                </pic:pic>
              </a:graphicData>
            </a:graphic>
          </wp:inline>
        </w:drawing>
      </w:r>
      <w:r>
        <w:t xml:space="preserve">{width=6.5in}</w:t>
      </w:r>
    </w:p>
    <w:bookmarkEnd w:id="42"/>
    <w:bookmarkStart w:id="46" w:name="Xa2a3c373760265790b1a8e7b307529c391ea560"/>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BodyText"/>
      </w:pPr>
      <w:r>
        <w:drawing>
          <wp:inline>
            <wp:extent cx="5753100" cy="3759293"/>
            <wp:effectExtent b="0" l="0" r="0" t="0"/>
            <wp:docPr descr="Figure 3. Turning-point estimates and 2025 threshold collapse." title="" id="44" name="Picture"/>
            <a:graphic>
              <a:graphicData uri="http://schemas.openxmlformats.org/drawingml/2006/picture">
                <pic:pic>
                  <pic:nvPicPr>
                    <pic:cNvPr descr="/home/user/MY_THESIS_PHD_CANDIDATE_26/p9_india/replication/figures/figure_3_turning_points.png" id="45" name="Picture"/>
                    <pic:cNvPicPr>
                      <a:picLocks noChangeArrowheads="1" noChangeAspect="1"/>
                    </pic:cNvPicPr>
                  </pic:nvPicPr>
                  <pic:blipFill>
                    <a:blip r:embed="rId43"/>
                    <a:stretch>
                      <a:fillRect/>
                    </a:stretch>
                  </pic:blipFill>
                  <pic:spPr bwMode="auto">
                    <a:xfrm>
                      <a:off x="0" y="0"/>
                      <a:ext cx="5753100" cy="3759293"/>
                    </a:xfrm>
                    <a:prstGeom prst="rect">
                      <a:avLst/>
                    </a:prstGeom>
                    <a:noFill/>
                    <a:ln w="9525">
                      <a:noFill/>
                      <a:headEnd/>
                      <a:tailEnd/>
                    </a:ln>
                  </pic:spPr>
                </pic:pic>
              </a:graphicData>
            </a:graphic>
          </wp:inline>
        </w:drawing>
      </w:r>
      <w:r>
        <w:t xml:space="preserve">{width=6.5in}</w:t>
      </w:r>
    </w:p>
    <w:bookmarkEnd w:id="46"/>
    <w:bookmarkStart w:id="47" w:name="Xf60927d55a91114fea779cf36ab4cc04d3fbe2b"/>
    <w:p>
      <w:pPr>
        <w:pStyle w:val="Heading3"/>
      </w:pPr>
      <w:r>
        <w:t xml:space="preserve">4.4 Three-wave pooled robustness</w:t>
      </w:r>
    </w:p>
    <w:p>
      <w:pPr>
        <w:pStyle w:val="FirstParagraph"/>
      </w:pPr>
      <w:r>
        <w:t xml:space="preserve">The pooled 3-wave model with wave dummies (N = 28,717,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47"/>
    <w:bookmarkStart w:id="51" w:name="Xfa6d62402842924c5c02d4fc334ff0a94d1ce6a"/>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Table 4.</w:t>
      </w:r>
      <w:r>
        <w:t xml:space="preserve"> </w:t>
      </w:r>
      <w:r>
        <w:t xml:space="preserve">Capability moderation models, TCI, DAI Tier-1, and DAI Tier-2 (UPI e-payment).</w:t>
      </w:r>
    </w:p>
    <w:p>
      <w:pPr>
        <w:pStyle w:val="BodyText"/>
      </w:pPr>
      <w:r>
        <w:t xml:space="preserve">Dependent variable: ln(Labour Productivity)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right"/>
            </w:pPr>
            <w:r>
              <w:t xml:space="preserve">M3 TCI 2014</w:t>
            </w:r>
          </w:p>
        </w:tc>
        <w:tc>
          <w:tcPr/>
          <w:p>
            <w:pPr>
              <w:pStyle w:val="Compact"/>
              <w:jc w:val="right"/>
            </w:pPr>
            <w:r>
              <w:t xml:space="preserve">M3 TCI 2022</w:t>
            </w:r>
          </w:p>
        </w:tc>
        <w:tc>
          <w:tcPr/>
          <w:p>
            <w:pPr>
              <w:pStyle w:val="Compact"/>
              <w:jc w:val="right"/>
            </w:pPr>
            <w:r>
              <w:t xml:space="preserve">M3 TCI 2025</w:t>
            </w:r>
          </w:p>
        </w:tc>
        <w:tc>
          <w:tcPr/>
          <w:p>
            <w:pPr>
              <w:pStyle w:val="Compact"/>
              <w:jc w:val="right"/>
            </w:pPr>
            <w:r>
              <w:t xml:space="preserve">M4 DAI Tier-1 2025</w:t>
            </w:r>
          </w:p>
        </w:tc>
        <w:tc>
          <w:tcPr/>
          <w:p>
            <w:pPr>
              <w:pStyle w:val="Compact"/>
              <w:jc w:val="right"/>
            </w:pPr>
            <w:r>
              <w:t xml:space="preserve">M4b DAI Tier-2 2025</w:t>
            </w:r>
          </w:p>
        </w:tc>
      </w:tr>
      <w:tr>
        <w:tc>
          <w:tcPr/>
          <w:p>
            <w:pPr>
              <w:pStyle w:val="Compact"/>
              <w:jc w:val="left"/>
            </w:pPr>
            <w:r>
              <w:t xml:space="preserve">FSTS</w:t>
            </w:r>
          </w:p>
        </w:tc>
        <w:tc>
          <w:tcPr/>
          <w:p>
            <w:pPr>
              <w:pStyle w:val="Compact"/>
              <w:jc w:val="right"/>
            </w:pPr>
            <w:r>
              <w:t xml:space="preserve">+1.728***</w:t>
            </w:r>
          </w:p>
        </w:tc>
        <w:tc>
          <w:tcPr/>
          <w:p>
            <w:pPr>
              <w:pStyle w:val="Compact"/>
              <w:jc w:val="right"/>
            </w:pPr>
            <w:r>
              <w:t xml:space="preserve">+0.980***</w:t>
            </w:r>
          </w:p>
        </w:tc>
        <w:tc>
          <w:tcPr/>
          <w:p>
            <w:pPr>
              <w:pStyle w:val="Compact"/>
              <w:jc w:val="right"/>
            </w:pPr>
            <w:r>
              <w:t xml:space="preserve">-0.271</w:t>
            </w:r>
          </w:p>
        </w:tc>
        <w:tc>
          <w:tcPr/>
          <w:p>
            <w:pPr>
              <w:pStyle w:val="Compact"/>
              <w:jc w:val="right"/>
            </w:pPr>
            <w:r>
              <w:t xml:space="preserve">-1.128*</w:t>
            </w:r>
          </w:p>
        </w:tc>
        <w:tc>
          <w:tcPr/>
          <w:p>
            <w:pPr>
              <w:pStyle w:val="Compact"/>
              <w:jc w:val="right"/>
            </w:pPr>
            <w:r>
              <w:t xml:space="preserve">+2.454*</w:t>
            </w:r>
          </w:p>
        </w:tc>
      </w:tr>
      <w:tr>
        <w:tc>
          <w:tcPr/>
          <w:p>
            <w:pPr>
              <w:pStyle w:val="Compact"/>
              <w:jc w:val="left"/>
            </w:pPr>
            <w:r>
              <w:t xml:space="preserve">FSTS²</w:t>
            </w:r>
          </w:p>
        </w:tc>
        <w:tc>
          <w:tcPr/>
          <w:p>
            <w:pPr>
              <w:pStyle w:val="Compact"/>
              <w:jc w:val="right"/>
            </w:pPr>
            <w:r>
              <w:t xml:space="preserve">-1.383***</w:t>
            </w:r>
          </w:p>
        </w:tc>
        <w:tc>
          <w:tcPr/>
          <w:p>
            <w:pPr>
              <w:pStyle w:val="Compact"/>
              <w:jc w:val="right"/>
            </w:pPr>
            <w:r>
              <w:t xml:space="preserve">-1.332***</w:t>
            </w:r>
          </w:p>
        </w:tc>
        <w:tc>
          <w:tcPr/>
          <w:p>
            <w:pPr>
              <w:pStyle w:val="Compact"/>
              <w:jc w:val="right"/>
            </w:pPr>
            <w:r>
              <w:t xml:space="preserve">-0.225</w:t>
            </w:r>
          </w:p>
        </w:tc>
        <w:tc>
          <w:tcPr/>
          <w:p>
            <w:pPr>
              <w:pStyle w:val="Compact"/>
              <w:jc w:val="right"/>
            </w:pPr>
            <w:r>
              <w:t xml:space="preserve">+0.919</w:t>
            </w:r>
          </w:p>
        </w:tc>
        <w:tc>
          <w:tcPr/>
          <w:p>
            <w:pPr>
              <w:pStyle w:val="Compact"/>
              <w:jc w:val="right"/>
            </w:pPr>
            <w:r>
              <w:t xml:space="preserve">-2.546†</w:t>
            </w:r>
          </w:p>
        </w:tc>
      </w:tr>
      <w:tr>
        <w:tc>
          <w:tcPr/>
          <w:p>
            <w:pPr>
              <w:pStyle w:val="Compact"/>
              <w:jc w:val="left"/>
            </w:pPr>
            <w:r>
              <w:t xml:space="preserve">TCI</w:t>
            </w:r>
          </w:p>
        </w:tc>
        <w:tc>
          <w:tcPr/>
          <w:p>
            <w:pPr>
              <w:pStyle w:val="Compact"/>
              <w:jc w:val="right"/>
            </w:pPr>
            <w:r>
              <w:t xml:space="preserve">+0.119***</w:t>
            </w:r>
          </w:p>
        </w:tc>
        <w:tc>
          <w:tcPr/>
          <w:p>
            <w:pPr>
              <w:pStyle w:val="Compact"/>
              <w:jc w:val="right"/>
            </w:pPr>
            <w:r>
              <w:t xml:space="preserve">+0.185***</w:t>
            </w: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FSTS × TCI</w:t>
            </w:r>
          </w:p>
        </w:tc>
        <w:tc>
          <w:tcPr/>
          <w:p>
            <w:pPr>
              <w:pStyle w:val="Compact"/>
              <w:jc w:val="right"/>
            </w:pPr>
            <w:r>
              <w:t xml:space="preserve">-0.010</w:t>
            </w:r>
          </w:p>
        </w:tc>
        <w:tc>
          <w:tcPr/>
          <w:p>
            <w:pPr>
              <w:pStyle w:val="Compact"/>
              <w:jc w:val="right"/>
            </w:pPr>
            <w:r>
              <w:t xml:space="preserve">+0.128</w:t>
            </w:r>
          </w:p>
        </w:tc>
        <w:tc>
          <w:tcPr/>
          <w:p>
            <w:pPr>
              <w:pStyle w:val="Compact"/>
              <w:jc w:val="right"/>
            </w:pPr>
            <w:r>
              <w:t xml:space="preserve">+0.204*</w:t>
            </w:r>
          </w:p>
        </w:tc>
        <w:tc>
          <w:tcPr/>
          <w:p>
            <w:pPr>
              <w:pStyle w:val="Compact"/>
            </w:pPr>
          </w:p>
        </w:tc>
        <w:tc>
          <w:tcPr/>
          <w:p>
            <w:pPr>
              <w:pStyle w:val="Compact"/>
            </w:pPr>
          </w:p>
        </w:tc>
      </w:tr>
      <w:tr>
        <w:tc>
          <w:tcPr/>
          <w:p>
            <w:pPr>
              <w:pStyle w:val="Compact"/>
              <w:jc w:val="left"/>
            </w:pPr>
            <w:r>
              <w:t xml:space="preserve">FSTS² × TCI</w:t>
            </w:r>
          </w:p>
        </w:tc>
        <w:tc>
          <w:tcPr/>
          <w:p>
            <w:pPr>
              <w:pStyle w:val="Compact"/>
              <w:jc w:val="right"/>
            </w:pPr>
            <w:r>
              <w:t xml:space="preserve">-0.018</w:t>
            </w:r>
          </w:p>
        </w:tc>
        <w:tc>
          <w:tcPr/>
          <w:p>
            <w:pPr>
              <w:pStyle w:val="Compact"/>
              <w:jc w:val="right"/>
            </w:pPr>
            <w:r>
              <w:t xml:space="preserve">-0.331†</w:t>
            </w:r>
          </w:p>
        </w:tc>
        <w:tc>
          <w:tcPr/>
          <w:p>
            <w:pPr>
              <w:pStyle w:val="Compact"/>
              <w:jc w:val="right"/>
            </w:pPr>
            <w:r>
              <w:t xml:space="preserve">-0.172</w:t>
            </w:r>
          </w:p>
        </w:tc>
        <w:tc>
          <w:tcPr/>
          <w:p>
            <w:pPr>
              <w:pStyle w:val="Compact"/>
            </w:pPr>
          </w:p>
        </w:tc>
        <w:tc>
          <w:tcPr/>
          <w:p>
            <w:pPr>
              <w:pStyle w:val="Compact"/>
            </w:pPr>
          </w:p>
        </w:tc>
      </w:tr>
      <w:tr>
        <w:tc>
          <w:tcPr/>
          <w:p>
            <w:pPr>
              <w:pStyle w:val="Compact"/>
              <w:jc w:val="left"/>
            </w:pPr>
            <w:r>
              <w:t xml:space="preserve">DAI Tier-1</w:t>
            </w:r>
          </w:p>
        </w:tc>
        <w:tc>
          <w:tcPr/>
          <w:p>
            <w:pPr>
              <w:pStyle w:val="Compact"/>
            </w:pPr>
          </w:p>
        </w:tc>
        <w:tc>
          <w:tcPr/>
          <w:p>
            <w:pPr>
              <w:pStyle w:val="Compact"/>
            </w:pPr>
          </w:p>
        </w:tc>
        <w:tc>
          <w:tcPr/>
          <w:p>
            <w:pPr>
              <w:pStyle w:val="Compact"/>
            </w:pPr>
          </w:p>
        </w:tc>
        <w:tc>
          <w:tcPr/>
          <w:p>
            <w:pPr>
              <w:pStyle w:val="Compact"/>
              <w:jc w:val="right"/>
            </w:pPr>
            <w:r>
              <w:t xml:space="preserve">-0.031†</w:t>
            </w:r>
          </w:p>
        </w:tc>
        <w:tc>
          <w:tcPr/>
          <w:p>
            <w:pPr>
              <w:pStyle w:val="Compact"/>
            </w:pPr>
          </w:p>
        </w:tc>
      </w:tr>
      <w:tr>
        <w:tc>
          <w:tcPr/>
          <w:p>
            <w:pPr>
              <w:pStyle w:val="Compact"/>
              <w:jc w:val="left"/>
            </w:pPr>
            <w:r>
              <w:t xml:space="preserve">FSTS × DAI Tier-1</w:t>
            </w:r>
          </w:p>
        </w:tc>
        <w:tc>
          <w:tcPr/>
          <w:p>
            <w:pPr>
              <w:pStyle w:val="Compact"/>
            </w:pPr>
          </w:p>
        </w:tc>
        <w:tc>
          <w:tcPr/>
          <w:p>
            <w:pPr>
              <w:pStyle w:val="Compact"/>
            </w:pPr>
          </w:p>
        </w:tc>
        <w:tc>
          <w:tcPr/>
          <w:p>
            <w:pPr>
              <w:pStyle w:val="Compact"/>
            </w:pPr>
          </w:p>
        </w:tc>
        <w:tc>
          <w:tcPr/>
          <w:p>
            <w:pPr>
              <w:pStyle w:val="Compact"/>
              <w:jc w:val="right"/>
            </w:pPr>
            <w:r>
              <w:t xml:space="preserve">+0.896†</w:t>
            </w:r>
          </w:p>
        </w:tc>
        <w:tc>
          <w:tcPr/>
          <w:p>
            <w:pPr>
              <w:pStyle w:val="Compact"/>
            </w:pPr>
          </w:p>
        </w:tc>
      </w:tr>
      <w:tr>
        <w:tc>
          <w:tcPr/>
          <w:p>
            <w:pPr>
              <w:pStyle w:val="Compact"/>
              <w:jc w:val="left"/>
            </w:pPr>
            <w:r>
              <w:t xml:space="preserve">FSTS² × DAI Tier-1</w:t>
            </w:r>
          </w:p>
        </w:tc>
        <w:tc>
          <w:tcPr/>
          <w:p>
            <w:pPr>
              <w:pStyle w:val="Compact"/>
            </w:pPr>
          </w:p>
        </w:tc>
        <w:tc>
          <w:tcPr/>
          <w:p>
            <w:pPr>
              <w:pStyle w:val="Compact"/>
            </w:pPr>
          </w:p>
        </w:tc>
        <w:tc>
          <w:tcPr/>
          <w:p>
            <w:pPr>
              <w:pStyle w:val="Compact"/>
            </w:pPr>
          </w:p>
        </w:tc>
        <w:tc>
          <w:tcPr/>
          <w:p>
            <w:pPr>
              <w:pStyle w:val="Compact"/>
              <w:jc w:val="right"/>
            </w:pPr>
            <w:r>
              <w:t xml:space="preserve">-1.231†</w:t>
            </w:r>
          </w:p>
        </w:tc>
        <w:tc>
          <w:tcPr/>
          <w:p>
            <w:pPr>
              <w:pStyle w:val="Compact"/>
            </w:pPr>
          </w:p>
        </w:tc>
      </w:tr>
      <w:tr>
        <w:tc>
          <w:tcPr/>
          <w:p>
            <w:pPr>
              <w:pStyle w:val="Compact"/>
              <w:jc w:val="left"/>
            </w:pPr>
            <w:r>
              <w:t xml:space="preserve">DAI Tier-2 (e-payment)</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+0.887***</w:t>
            </w:r>
          </w:p>
        </w:tc>
      </w:tr>
      <w:tr>
        <w:tc>
          <w:tcPr/>
          <w:p>
            <w:pPr>
              <w:pStyle w:val="Compact"/>
              <w:jc w:val="left"/>
            </w:pPr>
            <w:r>
              <w:t xml:space="preserve">FSTS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-4.022**</w:t>
            </w:r>
          </w:p>
        </w:tc>
      </w:tr>
      <w:tr>
        <w:tc>
          <w:tcPr/>
          <w:p>
            <w:pPr>
              <w:pStyle w:val="Compact"/>
              <w:jc w:val="left"/>
            </w:pPr>
            <w:r>
              <w:t xml:space="preserve">FSTS²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+3.391†</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c>
          <w:tcPr/>
          <w:p>
            <w:pPr>
              <w:pStyle w:val="Compact"/>
              <w:jc w:val="right"/>
            </w:pPr>
            <w:r>
              <w:t xml:space="preserve">10,476</w:t>
            </w:r>
          </w:p>
        </w:tc>
        <w:tc>
          <w:tcPr/>
          <w:p>
            <w:pPr>
              <w:pStyle w:val="Compact"/>
              <w:jc w:val="right"/>
            </w:pPr>
            <w:r>
              <w:t xml:space="preserve">10,473</w:t>
            </w:r>
          </w:p>
        </w:tc>
      </w:tr>
      <w:tr>
        <w:tc>
          <w:tcPr/>
          <w:p>
            <w:pPr>
              <w:pStyle w:val="Compact"/>
              <w:jc w:val="left"/>
            </w:pPr>
            <w:r>
              <w:t xml:space="preserve">R²_adj</w:t>
            </w:r>
          </w:p>
        </w:tc>
        <w:tc>
          <w:tcPr/>
          <w:p>
            <w:pPr>
              <w:pStyle w:val="Compact"/>
              <w:jc w:val="right"/>
            </w:pPr>
            <w:r>
              <w:t xml:space="preserve">0.0384</w:t>
            </w:r>
          </w:p>
        </w:tc>
        <w:tc>
          <w:tcPr/>
          <w:p>
            <w:pPr>
              <w:pStyle w:val="Compact"/>
              <w:jc w:val="right"/>
            </w:pPr>
            <w:r>
              <w:t xml:space="preserve">0.1114</w:t>
            </w:r>
          </w:p>
        </w:tc>
        <w:tc>
          <w:tcPr/>
          <w:p>
            <w:pPr>
              <w:pStyle w:val="Compact"/>
              <w:jc w:val="right"/>
            </w:pPr>
            <w:r>
              <w:t xml:space="preserve">0.1088</w:t>
            </w:r>
          </w:p>
        </w:tc>
        <w:tc>
          <w:tcPr/>
          <w:p>
            <w:pPr>
              <w:pStyle w:val="Compact"/>
              <w:jc w:val="right"/>
            </w:pPr>
            <w:r>
              <w:t xml:space="preserve">0.1025</w:t>
            </w:r>
          </w:p>
        </w:tc>
        <w:tc>
          <w:tcPr/>
          <w:p>
            <w:pPr>
              <w:pStyle w:val="Compact"/>
              <w:jc w:val="right"/>
            </w:pPr>
            <w:r>
              <w:t xml:space="preserve">0.1238</w:t>
            </w:r>
          </w:p>
        </w:tc>
      </w:tr>
    </w:tbl>
    <w:p>
      <w:pPr>
        <w:pStyle w:val="BodyText"/>
      </w:pPr>
      <w:r>
        <w:rPr>
          <w:iCs/>
          <w:i/>
        </w:rPr>
        <w:t xml:space="preserve">Note: M3 augments M2 with TCI and FSTS × TCI / FSTS² × TCI interactions. M4 augments M2 with DAI Tier-1 (own-website binary) and corresponding interactions. M4b augments M2 with DAI Tier-2 (% sales received via electronic payment, 2025 BREADY only) and corresponding interactions. All HC1 robust standard errors. Significance: † p &lt; 0.10, * p &lt; 0.05, ** p &lt; 0.01, *** p &lt; 0.001. Controls (ln(Employees), firm age, foreign ownership) included but suppressed for space.</w:t>
      </w:r>
    </w:p>
    <w:p>
      <w:pPr>
        <w:pStyle w:val="BodyText"/>
      </w:pPr>
      <w:r>
        <w:drawing>
          <wp:inline>
            <wp:extent cx="5753100" cy="4032177"/>
            <wp:effectExtent b="0" l="0" r="0" t="0"/>
            <wp:docPr descr="Figure 4. UPI rollout and Indian institutional shocks, 2014-2025." title="" id="49" name="Picture"/>
            <a:graphic>
              <a:graphicData uri="http://schemas.openxmlformats.org/drawingml/2006/picture">
                <pic:pic>
                  <pic:nvPicPr>
                    <pic:cNvPr descr="/home/user/MY_THESIS_PHD_CANDIDATE_26/p9_india/replication/figures/figure_4_upi_timeline.png" id="50" name="Picture"/>
                    <pic:cNvPicPr>
                      <a:picLocks noChangeArrowheads="1" noChangeAspect="1"/>
                    </pic:cNvPicPr>
                  </pic:nvPicPr>
                  <pic:blipFill>
                    <a:blip r:embed="rId48"/>
                    <a:stretch>
                      <a:fillRect/>
                    </a:stretch>
                  </pic:blipFill>
                  <pic:spPr bwMode="auto">
                    <a:xfrm>
                      <a:off x="0" y="0"/>
                      <a:ext cx="5753100" cy="4032177"/>
                    </a:xfrm>
                    <a:prstGeom prst="rect">
                      <a:avLst/>
                    </a:prstGeom>
                    <a:noFill/>
                    <a:ln w="9525">
                      <a:noFill/>
                      <a:headEnd/>
                      <a:tailEnd/>
                    </a:ln>
                  </pic:spPr>
                </pic:pic>
              </a:graphicData>
            </a:graphic>
          </wp:inline>
        </w:drawing>
      </w:r>
      <w:r>
        <w:t xml:space="preserve">{width=6.5in}</w:t>
      </w:r>
    </w:p>
    <w:bookmarkEnd w:id="51"/>
    <w:bookmarkStart w:id="52" w:name="X7b68f907ed55e65a2ee44288bf21fafeaedb955"/>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Table 5.</w:t>
      </w:r>
      <w:r>
        <w:t xml:space="preserve"> </w:t>
      </w:r>
      <w:r>
        <w:t xml:space="preserve">Robustness specifications, five sub-samples and one alternative dependent variable.</w:t>
      </w:r>
    </w:p>
    <w:p>
      <w:pPr>
        <w:pStyle w:val="BodyText"/>
      </w:pPr>
      <w:r>
        <w:t xml:space="preserve">M2 specification: ln(Labour Productivity) = β₀ + β₁ FSTS + β₂ FSTS² + controls.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Specification</w:t>
            </w:r>
          </w:p>
        </w:tc>
        <w:tc>
          <w:tcPr/>
          <w:p>
            <w:pPr>
              <w:pStyle w:val="Compact"/>
              <w:jc w:val="right"/>
            </w:pPr>
            <w:r>
              <w:t xml:space="preserve">Wave</w:t>
            </w:r>
          </w:p>
        </w:tc>
        <w:tc>
          <w:tcPr/>
          <w:p>
            <w:pPr>
              <w:pStyle w:val="Compact"/>
              <w:jc w:val="right"/>
            </w:pPr>
            <w:r>
              <w:t xml:space="preserve">N</w:t>
            </w:r>
          </w:p>
        </w:tc>
        <w:tc>
          <w:tcPr/>
          <w:p>
            <w:pPr>
              <w:pStyle w:val="Compact"/>
              <w:jc w:val="right"/>
            </w:pPr>
            <w:r>
              <w:t xml:space="preserve">β̂₁ FSTS</w:t>
            </w:r>
          </w:p>
        </w:tc>
        <w:tc>
          <w:tcPr/>
          <w:p>
            <w:pPr>
              <w:pStyle w:val="Compact"/>
              <w:jc w:val="right"/>
            </w:pPr>
            <w:r>
              <w:t xml:space="preserve">β̂₂ FSTS²</w:t>
            </w:r>
          </w:p>
        </w:tc>
        <w:tc>
          <w:tcPr/>
          <w:p>
            <w:pPr>
              <w:pStyle w:val="Compact"/>
              <w:jc w:val="right"/>
            </w:pPr>
            <w:r>
              <w:t xml:space="preserve">TP (%)</w:t>
            </w:r>
          </w:p>
        </w:tc>
        <w:tc>
          <w:tcPr/>
          <w:p>
            <w:pPr>
              <w:pStyle w:val="Compact"/>
              <w:jc w:val="center"/>
            </w:pPr>
            <w:r>
              <w:t xml:space="preserve">Inv-U?</w:t>
            </w:r>
          </w:p>
        </w:tc>
      </w:tr>
      <w:tr>
        <w:tc>
          <w:tcPr/>
          <w:p>
            <w:pPr>
              <w:pStyle w:val="Compact"/>
              <w:jc w:val="left"/>
            </w:pPr>
            <w:r>
              <w:t xml:space="preserve">Baseline (full sample)</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+1.865***</w:t>
            </w:r>
          </w:p>
        </w:tc>
        <w:tc>
          <w:tcPr/>
          <w:p>
            <w:pPr>
              <w:pStyle w:val="Compact"/>
              <w:jc w:val="right"/>
            </w:pPr>
            <w:r>
              <w:t xml:space="preserve">-1.508***</w:t>
            </w:r>
          </w:p>
        </w:tc>
        <w:tc>
          <w:tcPr/>
          <w:p>
            <w:pPr>
              <w:pStyle w:val="Compact"/>
              <w:jc w:val="right"/>
            </w:pPr>
            <w:r>
              <w:t xml:space="preserve">61.8</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+1.542***</w:t>
            </w:r>
          </w:p>
        </w:tc>
        <w:tc>
          <w:tcPr/>
          <w:p>
            <w:pPr>
              <w:pStyle w:val="Compact"/>
              <w:jc w:val="right"/>
            </w:pPr>
            <w:r>
              <w:t xml:space="preserve">-1.893***</w:t>
            </w:r>
          </w:p>
        </w:tc>
        <w:tc>
          <w:tcPr/>
          <w:p>
            <w:pPr>
              <w:pStyle w:val="Compact"/>
              <w:jc w:val="right"/>
            </w:pPr>
            <w:r>
              <w:t xml:space="preserve">40.7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-0.359*</w:t>
            </w:r>
          </w:p>
        </w:tc>
        <w:tc>
          <w:tcPr/>
          <w:p>
            <w:pPr>
              <w:pStyle w:val="Compact"/>
              <w:jc w:val="right"/>
            </w:pPr>
            <w:r>
              <w:t xml:space="preserve">-0.160</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R1: Manufacturing only</w:t>
            </w:r>
          </w:p>
        </w:tc>
        <w:tc>
          <w:tcPr/>
          <w:p>
            <w:pPr>
              <w:pStyle w:val="Compact"/>
              <w:jc w:val="right"/>
            </w:pPr>
            <w:r>
              <w:t xml:space="preserve">2014</w:t>
            </w:r>
          </w:p>
        </w:tc>
        <w:tc>
          <w:tcPr/>
          <w:p>
            <w:pPr>
              <w:pStyle w:val="Compact"/>
              <w:jc w:val="right"/>
            </w:pPr>
            <w:r>
              <w:t xml:space="preserve">6,974</w:t>
            </w:r>
          </w:p>
        </w:tc>
        <w:tc>
          <w:tcPr/>
          <w:p>
            <w:pPr>
              <w:pStyle w:val="Compact"/>
              <w:jc w:val="right"/>
            </w:pPr>
            <w:r>
              <w:t xml:space="preserve">+1.896***</w:t>
            </w:r>
          </w:p>
        </w:tc>
        <w:tc>
          <w:tcPr/>
          <w:p>
            <w:pPr>
              <w:pStyle w:val="Compact"/>
              <w:jc w:val="right"/>
            </w:pPr>
            <w:r>
              <w:t xml:space="preserve">-1.649***</w:t>
            </w:r>
          </w:p>
        </w:tc>
        <w:tc>
          <w:tcPr/>
          <w:p>
            <w:pPr>
              <w:pStyle w:val="Compact"/>
              <w:jc w:val="right"/>
            </w:pPr>
            <w:r>
              <w:t xml:space="preserve">57.5</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5,366</w:t>
            </w:r>
          </w:p>
        </w:tc>
        <w:tc>
          <w:tcPr/>
          <w:p>
            <w:pPr>
              <w:pStyle w:val="Compact"/>
              <w:jc w:val="right"/>
            </w:pPr>
            <w:r>
              <w:t xml:space="preserve">+1.697***</w:t>
            </w:r>
          </w:p>
        </w:tc>
        <w:tc>
          <w:tcPr/>
          <w:p>
            <w:pPr>
              <w:pStyle w:val="Compact"/>
              <w:jc w:val="right"/>
            </w:pPr>
            <w:r>
              <w:t xml:space="preserve">-2.056***</w:t>
            </w:r>
          </w:p>
        </w:tc>
        <w:tc>
          <w:tcPr/>
          <w:p>
            <w:pPr>
              <w:pStyle w:val="Compact"/>
              <w:jc w:val="right"/>
            </w:pPr>
            <w:r>
              <w:t xml:space="preserve">41.3</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5,706</w:t>
            </w:r>
          </w:p>
        </w:tc>
        <w:tc>
          <w:tcPr/>
          <w:p>
            <w:pPr>
              <w:pStyle w:val="Compact"/>
              <w:jc w:val="right"/>
            </w:pPr>
            <w:r>
              <w:t xml:space="preserve">-0.073</w:t>
            </w:r>
          </w:p>
        </w:tc>
        <w:tc>
          <w:tcPr/>
          <w:p>
            <w:pPr>
              <w:pStyle w:val="Compact"/>
              <w:jc w:val="right"/>
            </w:pPr>
            <w:r>
              <w:t xml:space="preserve">-0.464*</w:t>
            </w:r>
          </w:p>
        </w:tc>
        <w:tc>
          <w:tcPr/>
          <w:p>
            <w:pPr>
              <w:pStyle w:val="Compact"/>
              <w:jc w:val="right"/>
            </w:pPr>
            <w:r>
              <w:t xml:space="preserve">-7.9</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Trimmed FSTS ≤ 0.95</w:t>
            </w:r>
          </w:p>
        </w:tc>
        <w:tc>
          <w:tcPr/>
          <w:p>
            <w:pPr>
              <w:pStyle w:val="Compact"/>
              <w:jc w:val="right"/>
            </w:pPr>
            <w:r>
              <w:t xml:space="preserve">2014</w:t>
            </w:r>
          </w:p>
        </w:tc>
        <w:tc>
          <w:tcPr/>
          <w:p>
            <w:pPr>
              <w:pStyle w:val="Compact"/>
              <w:jc w:val="right"/>
            </w:pPr>
            <w:r>
              <w:t xml:space="preserve">8,666</w:t>
            </w:r>
          </w:p>
        </w:tc>
        <w:tc>
          <w:tcPr/>
          <w:p>
            <w:pPr>
              <w:pStyle w:val="Compact"/>
              <w:jc w:val="right"/>
            </w:pPr>
            <w:r>
              <w:t xml:space="preserve">+2.263***</w:t>
            </w:r>
          </w:p>
        </w:tc>
        <w:tc>
          <w:tcPr/>
          <w:p>
            <w:pPr>
              <w:pStyle w:val="Compact"/>
              <w:jc w:val="right"/>
            </w:pPr>
            <w:r>
              <w:t xml:space="preserve">-2.324***</w:t>
            </w:r>
          </w:p>
        </w:tc>
        <w:tc>
          <w:tcPr/>
          <w:p>
            <w:pPr>
              <w:pStyle w:val="Compact"/>
              <w:jc w:val="right"/>
            </w:pPr>
            <w:r>
              <w:t xml:space="preserve">48.7</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8,937</w:t>
            </w:r>
          </w:p>
        </w:tc>
        <w:tc>
          <w:tcPr/>
          <w:p>
            <w:pPr>
              <w:pStyle w:val="Compact"/>
              <w:jc w:val="right"/>
            </w:pPr>
            <w:r>
              <w:t xml:space="preserve">+1.585***</w:t>
            </w:r>
          </w:p>
        </w:tc>
        <w:tc>
          <w:tcPr/>
          <w:p>
            <w:pPr>
              <w:pStyle w:val="Compact"/>
              <w:jc w:val="right"/>
            </w:pPr>
            <w:r>
              <w:t xml:space="preserve">-1.998***</w:t>
            </w:r>
          </w:p>
        </w:tc>
        <w:tc>
          <w:tcPr/>
          <w:p>
            <w:pPr>
              <w:pStyle w:val="Compact"/>
              <w:jc w:val="right"/>
            </w:pPr>
            <w:r>
              <w:t xml:space="preserve">39.7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10,436</w:t>
            </w:r>
          </w:p>
        </w:tc>
        <w:tc>
          <w:tcPr/>
          <w:p>
            <w:pPr>
              <w:pStyle w:val="Compact"/>
              <w:jc w:val="right"/>
            </w:pPr>
            <w:r>
              <w:t xml:space="preserve">-0.301</w:t>
            </w:r>
          </w:p>
        </w:tc>
        <w:tc>
          <w:tcPr/>
          <w:p>
            <w:pPr>
              <w:pStyle w:val="Compact"/>
              <w:jc w:val="right"/>
            </w:pPr>
            <w:r>
              <w:t xml:space="preserve">-0.303</w:t>
            </w:r>
          </w:p>
        </w:tc>
        <w:tc>
          <w:tcPr/>
          <w:p>
            <w:pPr>
              <w:pStyle w:val="Compact"/>
              <w:jc w:val="right"/>
            </w:pPr>
            <w:r>
              <w:t xml:space="preserve">-49.7</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R3a: SME (employees &lt; 100)</w:t>
            </w:r>
          </w:p>
        </w:tc>
        <w:tc>
          <w:tcPr/>
          <w:p>
            <w:pPr>
              <w:pStyle w:val="Compact"/>
              <w:jc w:val="right"/>
            </w:pPr>
            <w:r>
              <w:t xml:space="preserve">2014</w:t>
            </w:r>
          </w:p>
        </w:tc>
        <w:tc>
          <w:tcPr/>
          <w:p>
            <w:pPr>
              <w:pStyle w:val="Compact"/>
              <w:jc w:val="right"/>
            </w:pPr>
            <w:r>
              <w:t xml:space="preserve">6,844</w:t>
            </w:r>
          </w:p>
        </w:tc>
        <w:tc>
          <w:tcPr/>
          <w:p>
            <w:pPr>
              <w:pStyle w:val="Compact"/>
              <w:jc w:val="right"/>
            </w:pPr>
            <w:r>
              <w:t xml:space="preserve">+0.758*</w:t>
            </w:r>
          </w:p>
        </w:tc>
        <w:tc>
          <w:tcPr/>
          <w:p>
            <w:pPr>
              <w:pStyle w:val="Compact"/>
              <w:jc w:val="right"/>
            </w:pPr>
            <w:r>
              <w:t xml:space="preserve">-0.071</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6,497</w:t>
            </w:r>
          </w:p>
        </w:tc>
        <w:tc>
          <w:tcPr/>
          <w:p>
            <w:pPr>
              <w:pStyle w:val="Compact"/>
              <w:jc w:val="right"/>
            </w:pPr>
            <w:r>
              <w:t xml:space="preserve">+1.354***</w:t>
            </w:r>
          </w:p>
        </w:tc>
        <w:tc>
          <w:tcPr/>
          <w:p>
            <w:pPr>
              <w:pStyle w:val="Compact"/>
              <w:jc w:val="right"/>
            </w:pPr>
            <w:r>
              <w:t xml:space="preserve">-1.644***</w:t>
            </w:r>
          </w:p>
        </w:tc>
        <w:tc>
          <w:tcPr/>
          <w:p>
            <w:pPr>
              <w:pStyle w:val="Compact"/>
              <w:jc w:val="right"/>
            </w:pPr>
            <w:r>
              <w:t xml:space="preserve">41.2</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7,383</w:t>
            </w:r>
          </w:p>
        </w:tc>
        <w:tc>
          <w:tcPr/>
          <w:p>
            <w:pPr>
              <w:pStyle w:val="Compact"/>
              <w:jc w:val="right"/>
            </w:pPr>
            <w:r>
              <w:t xml:space="preserve">-0.713*</w:t>
            </w:r>
          </w:p>
        </w:tc>
        <w:tc>
          <w:tcPr/>
          <w:p>
            <w:pPr>
              <w:pStyle w:val="Compact"/>
              <w:jc w:val="right"/>
            </w:pPr>
            <w:r>
              <w:t xml:space="preserve">+0.382</w:t>
            </w:r>
          </w:p>
        </w:tc>
        <w:tc>
          <w:tcPr/>
          <w:p>
            <w:pPr>
              <w:pStyle w:val="Compact"/>
              <w:jc w:val="right"/>
            </w:pPr>
            <w:r>
              <w:t xml:space="preserve">93.2</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R3b: Large (employees ≥ 100)</w:t>
            </w:r>
          </w:p>
        </w:tc>
        <w:tc>
          <w:tcPr/>
          <w:p>
            <w:pPr>
              <w:pStyle w:val="Compact"/>
              <w:jc w:val="right"/>
            </w:pPr>
            <w:r>
              <w:t xml:space="preserve">2014</w:t>
            </w:r>
          </w:p>
        </w:tc>
        <w:tc>
          <w:tcPr/>
          <w:p>
            <w:pPr>
              <w:pStyle w:val="Compact"/>
              <w:jc w:val="right"/>
            </w:pPr>
            <w:r>
              <w:t xml:space="preserve">2,097</w:t>
            </w:r>
          </w:p>
        </w:tc>
        <w:tc>
          <w:tcPr/>
          <w:p>
            <w:pPr>
              <w:pStyle w:val="Compact"/>
              <w:jc w:val="right"/>
            </w:pPr>
            <w:r>
              <w:t xml:space="preserve">+3.047***</w:t>
            </w:r>
          </w:p>
        </w:tc>
        <w:tc>
          <w:tcPr/>
          <w:p>
            <w:pPr>
              <w:pStyle w:val="Compact"/>
              <w:jc w:val="right"/>
            </w:pPr>
            <w:r>
              <w:t xml:space="preserve">-3.037***</w:t>
            </w:r>
          </w:p>
        </w:tc>
        <w:tc>
          <w:tcPr/>
          <w:p>
            <w:pPr>
              <w:pStyle w:val="Compact"/>
              <w:jc w:val="right"/>
            </w:pPr>
            <w:r>
              <w:t xml:space="preserve">50.2</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2,803</w:t>
            </w:r>
          </w:p>
        </w:tc>
        <w:tc>
          <w:tcPr/>
          <w:p>
            <w:pPr>
              <w:pStyle w:val="Compact"/>
              <w:jc w:val="right"/>
            </w:pPr>
            <w:r>
              <w:t xml:space="preserve">+1.942***</w:t>
            </w:r>
          </w:p>
        </w:tc>
        <w:tc>
          <w:tcPr/>
          <w:p>
            <w:pPr>
              <w:pStyle w:val="Compact"/>
              <w:jc w:val="right"/>
            </w:pPr>
            <w:r>
              <w:t xml:space="preserve">-2.379***</w:t>
            </w:r>
          </w:p>
        </w:tc>
        <w:tc>
          <w:tcPr/>
          <w:p>
            <w:pPr>
              <w:pStyle w:val="Compact"/>
              <w:jc w:val="right"/>
            </w:pPr>
            <w:r>
              <w:t xml:space="preserve">40.8</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3,093</w:t>
            </w:r>
          </w:p>
        </w:tc>
        <w:tc>
          <w:tcPr/>
          <w:p>
            <w:pPr>
              <w:pStyle w:val="Compact"/>
              <w:jc w:val="right"/>
            </w:pPr>
            <w:r>
              <w:t xml:space="preserve">-0.033</w:t>
            </w:r>
          </w:p>
        </w:tc>
        <w:tc>
          <w:tcPr/>
          <w:p>
            <w:pPr>
              <w:pStyle w:val="Compact"/>
              <w:jc w:val="right"/>
            </w:pPr>
            <w:r>
              <w:t xml:space="preserve">-0.547*</w:t>
            </w:r>
          </w:p>
        </w:tc>
        <w:tc>
          <w:tcPr/>
          <w:p>
            <w:pPr>
              <w:pStyle w:val="Compact"/>
              <w:jc w:val="right"/>
            </w:pPr>
            <w:r>
              <w:t xml:space="preserve">-3.0</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R4: Alt DV (standardised levels)</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+0.600*</w:t>
            </w:r>
          </w:p>
        </w:tc>
        <w:tc>
          <w:tcPr/>
          <w:p>
            <w:pPr>
              <w:pStyle w:val="Compact"/>
              <w:jc w:val="right"/>
            </w:pPr>
            <w:r>
              <w:t xml:space="preserve">-0.551*</w:t>
            </w:r>
          </w:p>
        </w:tc>
        <w:tc>
          <w:tcPr/>
          <w:p>
            <w:pPr>
              <w:pStyle w:val="Compact"/>
              <w:jc w:val="right"/>
            </w:pPr>
            <w:r>
              <w:t xml:space="preserve">54.4</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+0.927***</w:t>
            </w:r>
          </w:p>
        </w:tc>
        <w:tc>
          <w:tcPr/>
          <w:p>
            <w:pPr>
              <w:pStyle w:val="Compact"/>
              <w:jc w:val="right"/>
            </w:pPr>
            <w:r>
              <w:t xml:space="preserve">-1.116***</w:t>
            </w:r>
          </w:p>
        </w:tc>
        <w:tc>
          <w:tcPr/>
          <w:p>
            <w:pPr>
              <w:pStyle w:val="Compact"/>
              <w:jc w:val="right"/>
            </w:pPr>
            <w:r>
              <w:t xml:space="preserve">41.5</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-0.648***</w:t>
            </w:r>
          </w:p>
        </w:tc>
        <w:tc>
          <w:tcPr/>
          <w:p>
            <w:pPr>
              <w:pStyle w:val="Compact"/>
              <w:jc w:val="right"/>
            </w:pPr>
            <w:r>
              <w:t xml:space="preserve">+0.028</w:t>
            </w:r>
          </w:p>
        </w:tc>
        <w:tc>
          <w:tcPr/>
          <w:p>
            <w:pPr>
              <w:pStyle w:val="Compact"/>
              <w:jc w:val="right"/>
            </w:pPr>
            <w:r>
              <w:t xml:space="preserve">n/a</w:t>
            </w:r>
          </w:p>
        </w:tc>
        <w:tc>
          <w:tcPr/>
          <w:p>
            <w:pPr>
              <w:pStyle w:val="Compact"/>
              <w:jc w:val="center"/>
            </w:pPr>
            <w:r>
              <w:t xml:space="preserve">No</w:t>
            </w:r>
          </w:p>
        </w:tc>
      </w:tr>
    </w:tbl>
    <w:p>
      <w:pPr>
        <w:pStyle w:val="BodyText"/>
      </w:pPr>
      <w:r>
        <w:rPr>
          <w:iCs/>
          <w:i/>
        </w:rPr>
        <w:t xml:space="preserve">Note: HC1 robust standard errors used throughout. Significance: † p &lt; 0.10, * p &lt; 0.05, ** p &lt; 0.01, *** p &lt; 0.001. Inv-U? column indicates whether Lind–Mehlum (2010) joint U-test supports inverted-U at the 5 % level. Manufacturing classification uses ISIC Rev 3.1 codes 15–37 for 2014 PICS3 and ISIC Rev 4 codes 10–33 for 2022 BEE and 2025 BREADY. R4 uses standardised labour productivity in levels (z-score within wave) as the dependent variable.</w:t>
      </w:r>
    </w:p>
    <w:bookmarkEnd w:id="52"/>
    <w:bookmarkEnd w:id="53"/>
    <w:bookmarkStart w:id="60" w:name="X735612638e4e736e4693e459c258977262c0dfc"/>
    <w:p>
      <w:pPr>
        <w:pStyle w:val="Heading2"/>
      </w:pPr>
      <w:r>
        <w:t xml:space="preserve">5. Discussion</w:t>
      </w:r>
    </w:p>
    <w:bookmarkStart w:id="54" w:name="Xc19094a4c16362caac43b24a1cfd1e566bed788"/>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1e-12).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Section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54"/>
    <w:bookmarkStart w:id="55" w:name="X5aa2e568177abc248bc73a150f5dd80385661c2"/>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55"/>
    <w:bookmarkStart w:id="56" w:name="Xfb124a5024cf96d638b9a68daad9b3c0689502a"/>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far-reaching strategic redirection, even firm-level capability constructs behave differently.</w:t>
      </w:r>
    </w:p>
    <w:bookmarkEnd w:id="56"/>
    <w:bookmarkStart w:id="57" w:name="Xba25a0532df081593fbba6823962c8a78aab254"/>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 "what is the optimal export intensity?" but "under what institutional conditions does an optimum re-emerge?" 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57"/>
    <w:bookmarkStart w:id="58" w:name="X6fb952f48fe7386a51cacff4bb40301fd98916c"/>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58"/>
    <w:bookmarkStart w:id="59" w:name="X5106f0fe7d7b3d0e8858d892c327902f1f4cfd1"/>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Section 5.2 remains unresolved and qualifies the H4b reinterpretation.</w:t>
      </w:r>
    </w:p>
    <w:bookmarkEnd w:id="59"/>
    <w:bookmarkEnd w:id="60"/>
    <w:bookmarkStart w:id="61" w:name="Xf3d63d3bef15b3e862b66ed5bd48a577996a1bc"/>
    <w:p>
      <w:pPr>
        <w:pStyle w:val="Heading2"/>
      </w:pPr>
      <w:r>
        <w:t xml:space="preserve">6. Limitations and Future Research</w:t>
      </w:r>
    </w:p>
    <w:p>
      <w:pPr>
        <w:pStyle w:val="FirstParagraph"/>
      </w:pPr>
      <w:r>
        <w:t xml:space="preserve">The substantive limitations are detailed in Section 5.6. One further measurement caveat warrants emphasis: the 2025 wave coincides with a sharp contraction in export engagement (mean FSTS falls from 7.2 per cent in 2014 to 2.7 per cent in 2025, and the number of firms above 50 per cent FSTS falls from 536 to 141), so the loss of significant quadratic curvature in 2025 partly reflects reduced identifying variation in the high-export tail. The threshold-dissolution finding should therefore be read as conditional on the post-Atmanirbhar export contraction. Importantly, however, the sign of the low-export slope itself reverses, from a positive ascending limb in 2014 to a monotone negative relationship in 2025, a qualitative change that thinner tail support alone does not generate.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(Authors,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61"/>
    <w:bookmarkStart w:id="62"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(Authors, 2025)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62"/>
    <w:bookmarkStart w:id="63" w:name="conflict-of-interest"/>
    <w:p>
      <w:pPr>
        <w:pStyle w:val="Heading2"/>
      </w:pPr>
      <w:r>
        <w:t xml:space="preserve">Conflict of Interest</w:t>
      </w:r>
    </w:p>
    <w:p>
      <w:pPr>
        <w:pStyle w:val="FirstParagraph"/>
      </w:pPr>
      <w:r>
        <w:t xml:space="preserve">The authors declare no conflict of interest.</w:t>
      </w:r>
    </w:p>
    <w:bookmarkEnd w:id="63"/>
    <w:bookmarkStart w:id="64"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4"/>
    <w:bookmarkStart w:id="65"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65"/>
    <w:bookmarkStart w:id="6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66"/>
    <w:bookmarkStart w:id="67" w:name="ethics-approval"/>
    <w:p>
      <w:pPr>
        <w:pStyle w:val="Heading2"/>
      </w:pPr>
      <w:r>
        <w:t xml:space="preserve">Ethics approval</w:t>
      </w:r>
    </w:p>
    <w:p>
      <w:pPr>
        <w:pStyle w:val="FirstParagraph"/>
      </w:pPr>
      <w:r>
        <w:t xml:space="preserve">This study analyses secondary, de-identified, publicly available firm-level survey data (World Bank Enterprise Surveys) and did not involve human participants or animals; ethics approval was not required.</w:t>
      </w:r>
    </w:p>
    <w:bookmarkEnd w:id="67"/>
    <w:bookmarkStart w:id="69" w:name="references"/>
    <w:p>
      <w:pPr>
        <w:pStyle w:val="Heading2"/>
      </w:pPr>
      <w:r>
        <w:t xml:space="preserve">References</w:t>
      </w:r>
    </w:p>
    <w:p>
      <w:pPr>
        <w:pStyle w:val="FirstParagraph"/>
      </w:pPr>
      <w:r>
        <w:t xml:space="preserve">Aschauer, D.A. (1989), "Is public expenditure productive?",</w:t>
      </w:r>
      <w:r>
        <w:t xml:space="preserve"> </w:t>
      </w:r>
      <w:r>
        <w:rPr>
          <w:iCs/>
          <w:i/>
        </w:rPr>
        <w:t xml:space="preserve">Journal of Monetary Economics</w:t>
      </w:r>
      <w:r>
        <w:t xml:space="preserve">, Vol. 23 No. 2, pp. 177–200.</w:t>
      </w:r>
    </w:p>
    <w:p>
      <w:pPr>
        <w:pStyle w:val="BodyText"/>
      </w:pPr>
      <w:r>
        <w:t xml:space="preserve">Banalieva, E.R., Eddleston, K.A. and Zellweger, T.M. (2017), "When do family firms have an advantage in transitioning economies? Toward a dynamic institution-based view",</w:t>
      </w:r>
      <w:r>
        <w:t xml:space="preserve"> </w:t>
      </w:r>
      <w:r>
        <w:rPr>
          <w:iCs/>
          <w:i/>
        </w:rPr>
        <w:t xml:space="preserve">Strategic Management Journal</w:t>
      </w:r>
      <w:r>
        <w:t xml:space="preserve">, Vol. 38 No. 4, pp. 800–824.</w:t>
      </w:r>
    </w:p>
    <w:p>
      <w:pPr>
        <w:pStyle w:val="BodyText"/>
      </w:pPr>
      <w:r>
        <w:t xml:space="preserve">Burgess, R. and Pande, R. (2005), "Do rural banks matter? Evidence from the Indian social banking experiment",</w:t>
      </w:r>
      <w:r>
        <w:t xml:space="preserve"> </w:t>
      </w:r>
      <w:r>
        <w:rPr>
          <w:iCs/>
          <w:i/>
        </w:rPr>
        <w:t xml:space="preserve">American Economic Review</w:t>
      </w:r>
      <w:r>
        <w:t xml:space="preserve">, Vol. 95 No. 3, pp. 780–795.</w:t>
      </w:r>
    </w:p>
    <w:p>
      <w:pPr>
        <w:pStyle w:val="BodyText"/>
      </w:pPr>
      <w:r>
        <w:t xml:space="preserve">Cameron, A.C., Gelbach, J.B. and Miller, D.L. (2008), "Bootstrap-based improvements for inference with clustered errors",</w:t>
      </w:r>
      <w:r>
        <w:t xml:space="preserve"> </w:t>
      </w:r>
      <w:r>
        <w:rPr>
          <w:iCs/>
          <w:i/>
        </w:rPr>
        <w:t xml:space="preserve">Review of Economics and Statistics</w:t>
      </w:r>
      <w:r>
        <w:t xml:space="preserve">, Vol. 90 No. 3, pp. 414–427.</w:t>
      </w:r>
    </w:p>
    <w:p>
      <w:pPr>
        <w:pStyle w:val="BodyText"/>
      </w:pPr>
      <w:r>
        <w:t xml:space="preserve">Chittoor, R., Sarkar, M.B., Ray, S. and Aulakh, P.S. (2009), "Third-world copycats to emerging multinationals: institutional changes and organizational transformation in the Indian pharmaceutical industry",</w:t>
      </w:r>
      <w:r>
        <w:t xml:space="preserve"> </w:t>
      </w:r>
      <w:r>
        <w:rPr>
          <w:iCs/>
          <w:i/>
        </w:rPr>
        <w:t xml:space="preserve">Organization Science</w:t>
      </w:r>
      <w:r>
        <w:t xml:space="preserve">, Vol. 20 No. 1, pp. 187–205.</w:t>
      </w:r>
    </w:p>
    <w:p>
      <w:pPr>
        <w:pStyle w:val="BodyText"/>
      </w:pPr>
      <w:r>
        <w:t xml:space="preserve">Chodorow-Reich, G., Gopinath, G., Mishra, P. and Narayanan, A. (2020), "Cash and the economy: evidence from India's demonetization",</w:t>
      </w:r>
      <w:r>
        <w:t xml:space="preserve"> </w:t>
      </w:r>
      <w:r>
        <w:rPr>
          <w:iCs/>
          <w:i/>
        </w:rPr>
        <w:t xml:space="preserve">Quarterly Journal of Economics</w:t>
      </w:r>
      <w:r>
        <w:t xml:space="preserve">, Vol. 135 No. 1, pp. 57–103.</w:t>
      </w:r>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 128–152.</w:t>
      </w:r>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 453–475.</w:t>
      </w:r>
    </w:p>
    <w:p>
      <w:pPr>
        <w:pStyle w:val="BodyText"/>
      </w:pPr>
      <w:r>
        <w:t xml:space="preserve">Contractor, F.J., Kumar, V. and Kundu, S.K. (2007), "Nature of the relationship between international expansion and performance: the case of emerging market firms",</w:t>
      </w:r>
      <w:r>
        <w:t xml:space="preserve"> </w:t>
      </w:r>
      <w:r>
        <w:rPr>
          <w:iCs/>
          <w:i/>
        </w:rPr>
        <w:t xml:space="preserve">Journal of World Business</w:t>
      </w:r>
      <w:r>
        <w:t xml:space="preserve">, Vol. 42 No. 4, pp. 401–417.</w:t>
      </w:r>
    </w:p>
    <w:p>
      <w:pPr>
        <w:pStyle w:val="BodyText"/>
      </w:pPr>
      <w:r>
        <w:t xml:space="preserve">Cuervo-Cazurra, A. (2012), "Extending theory by analyzing developing country multinational companies: solving the goldilocks debate",</w:t>
      </w:r>
      <w:r>
        <w:t xml:space="preserve"> </w:t>
      </w:r>
      <w:r>
        <w:rPr>
          <w:iCs/>
          <w:i/>
        </w:rPr>
        <w:t xml:space="preserve">Global Strategy Journal</w:t>
      </w:r>
      <w:r>
        <w:t xml:space="preserve">, Vol. 2 No. 3, pp. 153–167.</w:t>
      </w:r>
    </w:p>
    <w:p>
      <w:pPr>
        <w:pStyle w:val="BodyText"/>
      </w:pPr>
      <w:r>
        <w:t xml:space="preserve">Authors (2025). Details omitted for double-blind review.</w:t>
      </w:r>
    </w:p>
    <w:p>
      <w:pPr>
        <w:pStyle w:val="BodyText"/>
      </w:pPr>
      <w:r>
        <w:t xml:space="preserve">Donaldson, D. (2018), "Railroads of the Raj: estimating the impact of transportation infrastructure",</w:t>
      </w:r>
      <w:r>
        <w:t xml:space="preserve"> </w:t>
      </w:r>
      <w:r>
        <w:rPr>
          <w:iCs/>
          <w:i/>
        </w:rPr>
        <w:t xml:space="preserve">American Economic Review</w:t>
      </w:r>
      <w:r>
        <w:t xml:space="preserve">, Vol. 108 No. 4–5, pp. 899–934.</w:t>
      </w:r>
    </w:p>
    <w:p>
      <w:pPr>
        <w:pStyle w:val="BodyText"/>
      </w:pPr>
      <w:r>
        <w:t xml:space="preserve">Elango, B. and Pattnaik, C. (2007), "Building capabilities for international operations through networks: a study of Indian firms",</w:t>
      </w:r>
      <w:r>
        <w:t xml:space="preserve"> </w:t>
      </w:r>
      <w:r>
        <w:rPr>
          <w:iCs/>
          <w:i/>
        </w:rPr>
        <w:t xml:space="preserve">Journal of International Business Studies</w:t>
      </w:r>
      <w:r>
        <w:t xml:space="preserve">, Vol. 38 No. 4, pp. 541–555.</w:t>
      </w:r>
    </w:p>
    <w:p>
      <w:pPr>
        <w:pStyle w:val="BodyText"/>
      </w:pPr>
      <w:r>
        <w:t xml:space="preserve">Hambrick, D.C. and Mason, P.A. (1984), "Upper echelons: the organization as a reflection of its top managers",</w:t>
      </w:r>
      <w:r>
        <w:t xml:space="preserve"> </w:t>
      </w:r>
      <w:r>
        <w:rPr>
          <w:iCs/>
          <w:i/>
        </w:rPr>
        <w:t xml:space="preserve">Academy of Management Review</w:t>
      </w:r>
      <w:r>
        <w:t xml:space="preserve">, Vol. 9 No. 2, pp. 193–206.</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 423–452.</w:t>
      </w:r>
    </w:p>
    <w:p>
      <w:pPr>
        <w:pStyle w:val="BodyText"/>
      </w:pPr>
      <w:r>
        <w:t xml:space="preserve">Hutzschenreuter, T., Kleindienst, I., Sarkar Sengupta, A. and Verbeke, A. (2026), "The performance effects of 'added cultural distance' in multinational expansion paths: generalizable and contextual determinants",</w:t>
      </w:r>
      <w:r>
        <w:t xml:space="preserve"> </w:t>
      </w:r>
      <w:r>
        <w:rPr>
          <w:iCs/>
          <w:i/>
        </w:rPr>
        <w:t xml:space="preserve">Multinational Business Review</w:t>
      </w:r>
      <w:r>
        <w:t xml:space="preserve">, available at:</w:t>
      </w:r>
      <w:r>
        <w:t xml:space="preserve"> </w:t>
      </w:r>
      <w:hyperlink r:id="rId68">
        <w:r>
          <w:rPr>
            <w:rStyle w:val="Hyperlink"/>
          </w:rPr>
          <w:t xml:space="preserve">https://doi.org/10.1108/mbr-04-2025-0104</w:t>
        </w:r>
      </w:hyperlink>
    </w:p>
    <w:p>
      <w:pPr>
        <w:pStyle w:val="BodyText"/>
      </w:pPr>
      <w:r>
        <w:t xml:space="preserve">Hutzschenreuter, T. and Voll, J.C. (2008), "Performance effects of ‘added cultural distance’ in the path of international expansion",</w:t>
      </w:r>
      <w:r>
        <w:t xml:space="preserve"> </w:t>
      </w:r>
      <w:r>
        <w:rPr>
          <w:iCs/>
          <w:i/>
        </w:rPr>
        <w:t xml:space="preserve">Journal of International Business Studies</w:t>
      </w:r>
      <w:r>
        <w:t xml:space="preserve">, Vol. 39 No. 1, pp. 53–70.</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 23–32.</w:t>
      </w:r>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 109–118.</w:t>
      </w:r>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 598–609.</w:t>
      </w:r>
    </w:p>
    <w:p>
      <w:pPr>
        <w:pStyle w:val="BodyText"/>
      </w:pPr>
      <w:r>
        <w:t xml:space="preserve">MacKinnon, J.G. and Webb, M.D. (2017), "Wild bootstrap inference for wildly different cluster sizes",</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 1075–1110.</w:t>
      </w:r>
    </w:p>
    <w:p>
      <w:pPr>
        <w:pStyle w:val="BodyText"/>
      </w:pPr>
      <w:r>
        <w:t xml:space="preserve">Mizik, N. and Jacobson, R. (2003), "Trading off between value creation and value appropriation: the financial implications of shifts in strategic emphasis",</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 859–866.</w:t>
      </w:r>
    </w:p>
    <w:p>
      <w:pPr>
        <w:pStyle w:val="BodyText"/>
      </w:pPr>
      <w:r>
        <w:t xml:space="preserve">Peng, M.W., Wang, D.Y.L. and Jiang, Y. (2008), "An institution-based view of international business strategy: a focus on emerging economies",</w:t>
      </w:r>
      <w:r>
        <w:t xml:space="preserve"> </w:t>
      </w:r>
      <w:r>
        <w:rPr>
          <w:iCs/>
          <w:i/>
        </w:rPr>
        <w:t xml:space="preserve">Journal of International Business Studies</w:t>
      </w:r>
      <w:r>
        <w:t xml:space="preserve">, Vol. 39 No. 5, pp. 920–936.</w:t>
      </w:r>
    </w:p>
    <w:p>
      <w:pPr>
        <w:pStyle w:val="BodyText"/>
      </w:pPr>
      <w:r>
        <w:t xml:space="preserve">Peng, M.W., Sun, S.L., Pinkham, B. and Chen, H. (2009), "The institution-based view as a third leg for a strategy tripod",</w:t>
      </w:r>
      <w:r>
        <w:t xml:space="preserve"> </w:t>
      </w:r>
      <w:r>
        <w:rPr>
          <w:iCs/>
          <w:i/>
        </w:rPr>
        <w:t xml:space="preserve">Academy of Management Perspectives</w:t>
      </w:r>
      <w:r>
        <w:t xml:space="preserve">, Vol. 23 No. 3, pp. 63–81.</w:t>
      </w:r>
    </w:p>
    <w:p>
      <w:pPr>
        <w:pStyle w:val="BodyText"/>
      </w:pPr>
      <w:r>
        <w:t xml:space="preserve">Singh, D.A. (2009), "Export performance of emerging market firms",</w:t>
      </w:r>
      <w:r>
        <w:t xml:space="preserve"> </w:t>
      </w:r>
      <w:r>
        <w:rPr>
          <w:iCs/>
          <w:i/>
        </w:rPr>
        <w:t xml:space="preserve">International Business Review</w:t>
      </w:r>
      <w:r>
        <w:t xml:space="preserve">, Vol. 18 No. 4, pp. 321–330.</w:t>
      </w:r>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 1319–1350.</w:t>
      </w:r>
    </w:p>
    <w:p>
      <w:pPr>
        <w:pStyle w:val="BodyText"/>
      </w:pPr>
      <w:r>
        <w:t xml:space="preserve">Verbeke, A. and Forootan, M.Z. (2012), "How good are multinationality–performance (M-P) empirical studies?",</w:t>
      </w:r>
      <w:r>
        <w:t xml:space="preserve"> </w:t>
      </w:r>
      <w:r>
        <w:rPr>
          <w:iCs/>
          <w:i/>
        </w:rPr>
        <w:t xml:space="preserve">Global Strategy Journal</w:t>
      </w:r>
      <w:r>
        <w:t xml:space="preserve">, Vol. 2 No. 4, pp. 332–344.</w:t>
      </w:r>
    </w:p>
    <w:p>
      <w:pPr>
        <w:pStyle w:val="BodyText"/>
      </w:pPr>
      <w:r>
        <w:t xml:space="preserve">Williamson, O.E. (2000), "The new institutional economics: taking stock, looking ahead",</w:t>
      </w:r>
      <w:r>
        <w:t xml:space="preserve"> </w:t>
      </w:r>
      <w:r>
        <w:rPr>
          <w:iCs/>
          <w:i/>
        </w:rPr>
        <w:t xml:space="preserve">Journal of Economic Literature</w:t>
      </w:r>
      <w:r>
        <w:t xml:space="preserve">, Vol. 38 No. 3, pp. 595–613.</w:t>
      </w:r>
    </w:p>
    <w:p>
      <w:r>
        <w:pict>
          <v:rect style="width:0;height:1.5pt" o:hralign="center" o:hrstd="t" o:hr="t"/>
        </w:pict>
      </w:r>
    </w:p>
    <w:bookmarkEnd w:id="69"/>
    <w:bookmarkEnd w:id="7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hyperlink" Id="rId68" Target="https://doi.org/10.1108/mbr-04-2025-0104" TargetMode="External" /><Relationship Type="http://schemas.openxmlformats.org/officeDocument/2006/relationships/hyperlink" Id="rId32"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108/mbr-04-2025-0104" TargetMode="External" /><Relationship Type="http://schemas.openxmlformats.org/officeDocument/2006/relationships/hyperlink" Id="rId32"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2026-06-20T23:41:53Z</dcterms:created>
  <dcterms:modified xsi:type="dcterms:W3CDTF">2026-06-20T23:41:53Z</dcterms:modified>
</cp:coreProperties>
</file>

<file path=docProps/custom.xml><?xml version="1.0" encoding="utf-8"?>
<Properties xmlns="http://schemas.openxmlformats.org/officeDocument/2006/custom-properties" xmlns:vt="http://schemas.openxmlformats.org/officeDocument/2006/docPropsVTypes"/>
</file>