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80f7a07cbc3f53dbef3c88240a0ce7e6a60b02"/>
    <w:p>
      <w:pPr>
        <w:pStyle w:val="Heading1"/>
      </w:pPr>
      <w:r>
        <w:t xml:space="preserve">Quốc Tế Hóa Sinh Lợi ở Đâu: Chế Độ Thể Chế và Năng Lực Số như Những Nhân Tố Đồng Xác Định Điểm Tối Ưu Hiệu Quả trên 49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 điểm ngưỡng (turning point) của nó được</w:t>
      </w:r>
      <w:r>
        <w:t xml:space="preserve"> </w:t>
      </w:r>
      <w:r>
        <w:rPr>
          <w:iCs/>
          <w:i/>
        </w:rPr>
        <w:t xml:space="preserve">tái định vị một cách đồng thời</w:t>
      </w:r>
      <w:r>
        <w:t xml:space="preserve"> </w:t>
      </w:r>
      <w:r>
        <w:t xml:space="preserve">bởi chế độ thể chế nơi doanh nghiệp hoạt động và bởi năng lực số của chính doanh nghiệp;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91.982 quan sát doanh nghiệp (mẫu ước lượng cơ sở N = 84.910 sau khi áp dụng yêu cầu không thiếu về năng suất và cường độ xuất khẩu; 29.840 ở mô hình đầy đủ) tại 48 nền kinh tế và 107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36% doanh số từ xuất khẩu (kiểm định Lind–Mehlum p &lt; ,001; được xác nhận trong M11 với TP = 34,6%, p = ,002). Chế độ thể chế tái định vị có hệ thống điểm tối ưu này: cường độ xuất khẩu tối đa hóa hiệu quả dịch chuyển từ đạt đỉnh sớm ở các chế độ tiên tiến sang đạt đỉnh muộn ở các chế độ tiên phong và dễ tổn thương.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,012),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48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48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91.982 quan sát doanh nghiệp từ 48 nền kinh tế châu Á và Thái Bình Dương giai đoạn 2003–2025, được chuẩn hóa từ WBES; sau khi áp dụng yêu cầu không thiếu về năng suất và cường độ xuất khẩu, mẫu ước lượng cơ sở là 84.910 quan sát doanh nghiệp (giảm còn 29.840 ở mô hình đầy đủ M11).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điểm ngưỡng của nó lại nội sinh với chế độ thể chế, dịch chuyển từ đạt đỉnh sớm ở các chế độ tiên tiến sang đạt đỉnh muộn ở các chế độ tiên phong và dễ tổn thương (được xác nhận qua các đặc tả ở N = 84.910–29.840; M11: TP = 34,6%, kiểm định Lind–Mehlum p = ,002).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,012),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 điểm ngưỡng tối đa hóa hiệu quả của nó lại được</w:t>
      </w:r>
      <w:r>
        <w:t xml:space="preserve"> </w:t>
      </w:r>
      <w:r>
        <w:rPr>
          <w:iCs/>
          <w:i/>
        </w:rPr>
        <w:t xml:space="preserve">tái định vị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48 nền kinh tế châu Á và Thái Bình Dương qua 107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Georgia, Iraq, Israel, Jordan, Kuwait, Lebanon,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khi áp dụng các yêu cầu này, mẫu ước lượng cơ sở M2 là 84.910 quan sát doanh nghiệp, giảm còn 29.840 ở M11 khi thêm các biến kiểm soát năng lực số và nhà quản trị. Ba nền kinh tế xuất hiện trong tập dữ liệu WBES gộp nhưng nằm ngoài phạm vi châu Á–Thái Bình Dương của nghiên cứu và bị loại: Thổ Nhĩ Kỳ (Türkiye) và Azerbaijan — được Ngân hàng Thế giới xếp vào vùng Châu Âu và Trung Á, nằm ngoài khung phân loại khu vực của Ngân hàng Phát triển Châu Á (ADB) dùng để giới hạn mẫu — và Comoros (châu Phi hạ Sahara). Các nền kinh tế Trung Á và Nam Kavkaz mà Ngân hàng Thế giới cũng xếp vào Châu Âu và Trung Á (Kazakhstan, Kyrgyzstan, Tajikistan, Turkmenistan, Uzbekistan, Armenia và Georgia) được giữ lại, nhất quán với cách xếp chúng là các nền kinh tế châu Á mới nổi theo khung ADB.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3"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48 nền kinh tế và 107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48 nền kinh tế châu Á và Thái Bình Dương, với điểm ngưỡng khoảng 36%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48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2"/>
    <w:bookmarkEnd w:id="43"/>
    <w:bookmarkStart w:id="50" w:name="thảo-luận"/>
    <w:p>
      <w:pPr>
        <w:pStyle w:val="Heading2"/>
      </w:pPr>
      <w:r>
        <w:t xml:space="preserve">5. Thảo Luận</w:t>
      </w:r>
    </w:p>
    <w:bookmarkStart w:id="44"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 điểm ngưỡng không phải là một tham số cấu trúc cố định: nó dịch chuyển theo chất lượng thể chế (H5), từ đạt đỉnh sớm ở các chế độ tiên tiến sang đạt đỉnh muộn ở các chế độ tiên phong và dễ tổn thương.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+0,060, p = ,012)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48 nền kinh tế, qua đó cung cấp một giàn khung có thể chuyển giao để lý thuyết hóa chiến lược doanh nghiệp trong các chế độ thể chế không đồng nhất.</w:t>
      </w:r>
    </w:p>
    <w:bookmarkEnd w:id="44"/>
    <w:bookmarkStart w:id="45"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36% cường độ doanh số nước ngoài, vững trên 48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5"/>
    <w:bookmarkStart w:id="46"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48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6"/>
    <w:bookmarkStart w:id="47"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7"/>
    <w:bookmarkStart w:id="48"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8"/>
    <w:bookmarkStart w:id="49"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48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49"/>
    <w:bookmarkEnd w:id="50"/>
    <w:bookmarkStart w:id="51"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48 nền kinh tế và 107 đợt khảo sát, mối quan hệ I–P hình chữ U ngược mang tính phổ quát về dạng thức — đạt đỉnh ở khoảng 36% cường độ xuất khẩu — song điểm tối ưu của nó lại được tái định vị một cách đồng thời bởi chế độ thể chế và năng lực số,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,012)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1"/>
    <w:bookmarkStart w:id="52"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3"/>
    <w:bookmarkStart w:id="54"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2026-05-26T11:26:32Z</dcterms:created>
  <dcterms:modified xsi:type="dcterms:W3CDTF">2026-05-26T11:26:32Z</dcterms:modified>
</cp:coreProperties>
</file>

<file path=docProps/custom.xml><?xml version="1.0" encoding="utf-8"?>
<Properties xmlns="http://schemas.openxmlformats.org/officeDocument/2006/custom-properties" xmlns:vt="http://schemas.openxmlformats.org/officeDocument/2006/docPropsVTypes"/>
</file>