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9 June 2026</w:t>
      </w:r>
    </w:p>
    <w:p>
      <w:pPr>
        <w:pStyle w:val="BodyText"/>
      </w:pPr>
      <w:r>
        <w:t xml:space="preserve">The Editor-in-Chief</w:t>
      </w:r>
      <w:r>
        <w:t xml:space="preserve"> </w:t>
      </w:r>
      <w:r>
        <w:rPr>
          <w:iCs/>
          <w:i/>
        </w:rPr>
        <w:t xml:space="preserve">International Journal of Emerging Markets</w:t>
      </w:r>
      <w:r>
        <w:t xml:space="preserve"> </w:t>
      </w:r>
      <w:r>
        <w:t xml:space="preserve">Emerald Publishing</w:t>
      </w:r>
    </w:p>
    <w:p>
      <w:pPr>
        <w:pStyle w:val="BodyText"/>
      </w:pPr>
      <w:r>
        <w:rPr>
          <w:bCs/>
          <w:b/>
        </w:rPr>
        <w:t xml:space="preserve">Submission of Manuscript: "When Institutional Transformation Breaks the Threshold: The Disappearance of the Inverted-U Internationalisation–Performance Relationship in Indian Firms, 2014–2025"</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International Journal of Emerging Markets</w:t>
      </w:r>
      <w:r>
        <w:t xml:space="preserve"> </w:t>
      </w:r>
      <w:r>
        <w:t xml:space="preserve">(IJOEM). The manuscript presents an empirical study of the internationalisation–performance (I-P) threshold using three waves of World Bank Enterprise Survey microdata for India (2014 PICS3, N = 9,281; 2022 BEE, N = 9,376; 2025 BREADY, N = 10,479; pooled raw N = 29,136; pooled analytic N = 28,717). The 2014–2025 window spans India's unprecedented institutional and digital transformation decade: demonetisation 2016, Goods and Services Tax 2017, Insolvency and Bankruptcy Code 2016, Unified Payments Interface (UPI) launch 2016 and saturation 2024, Production-Linked Incentive scheme 2020, COVID-19 2020–2022, and the Atmanirbhar Bharat self-reliance policy 2020.</w:t>
      </w:r>
    </w:p>
    <w:p>
      <w:pPr>
        <w:pStyle w:val="BodyText"/>
      </w:pPr>
      <w:r>
        <w:rPr>
          <w:bCs/>
          <w:b/>
        </w:rPr>
        <w:t xml:space="preserve">Relevance to IJOEM</w:t>
      </w:r>
    </w:p>
    <w:p>
      <w:pPr>
        <w:pStyle w:val="BodyText"/>
      </w:pPr>
      <w:r>
        <w:t xml:space="preserve">The study contributes directly to IJOEM's core interest in firm-level dynamics in emerging markets. India is one of the largest and most institutionally complex emerging-market contexts for I-P research, and the three-wave design allows the study to test whether the curvilinear I-P relationship is structurally durable or dissolves across a decade of extreme institutional and digital transition, a question of direct relevance to IJOEM's readership. The manuscript also advances understanding of how state-provisioned digital public infrastructure (UPI) interacts with private capability accumulation in the emerging-market export production function, a frontier theme for the journal.</w:t>
      </w:r>
    </w:p>
    <w:p>
      <w:pPr>
        <w:pStyle w:val="BodyText"/>
      </w:pPr>
      <w:r>
        <w:rPr>
          <w:bCs/>
          <w:b/>
        </w:rPr>
        <w:t xml:space="preserve">Key Contributions</w:t>
      </w:r>
    </w:p>
    <w:p>
      <w:pPr>
        <w:pStyle w:val="BodyText"/>
      </w:pPr>
      <w:r>
        <w:t xml:space="preserve">First, this is the</w:t>
      </w:r>
      <w:r>
        <w:t xml:space="preserve"> </w:t>
      </w:r>
      <w:r>
        <w:rPr>
          <w:bCs/>
          <w:b/>
        </w:rPr>
        <w:t xml:space="preserve">first firm-level cross-wave threshold-stability test for India</w:t>
      </w:r>
      <w:r>
        <w:t xml:space="preserve"> </w:t>
      </w:r>
      <w:r>
        <w:t xml:space="preserve">using three full WBES waves. In 2014 the relationship is classically inverted-U with a turning point at FSTS = 61.8% (Lind–Mehlum joint p &lt; 0.0001). By 2022 the inverted-U persists but the turning point migrates inward to 40.7%. By 2025 the curvature term is statistically indistinguishable from zero (β₂ = −0.16, p = 0.42) and the relationship becomes monotonically negative across the empirically relevant export-intensity range. Paternoster (1998) cross-wave z-tests decisively reject coefficient equality between 2014 and 2025 for both the linear (z = −7.94) and quadratic (z = +4.17) terms (both p &lt; 0.0001). This identifies a previously untested</w:t>
      </w:r>
      <w:r>
        <w:t xml:space="preserve"> </w:t>
      </w:r>
      <w:r>
        <w:rPr>
          <w:bCs/>
          <w:b/>
        </w:rPr>
        <w:t xml:space="preserve">environmental scope condition</w:t>
      </w:r>
      <w:r>
        <w:t xml:space="preserve"> </w:t>
      </w:r>
      <w:r>
        <w:t xml:space="preserve">for the canonical Lu and Beamish (2004) inverted-U claim: the threshold is conditional on institutional stability and can be dissolved, not merely relocated, by sufficiently extreme institutional change.</w:t>
      </w:r>
    </w:p>
    <w:p>
      <w:pPr>
        <w:pStyle w:val="BodyText"/>
      </w:pPr>
      <w:r>
        <w:t xml:space="preserve">Second, the manuscript</w:t>
      </w:r>
      <w:r>
        <w:t xml:space="preserve"> </w:t>
      </w:r>
      <w:r>
        <w:rPr>
          <w:bCs/>
          <w:b/>
        </w:rPr>
        <w:t xml:space="preserve">decomposes the Digital Adoption Index</w:t>
      </w:r>
      <w:r>
        <w:t xml:space="preserve"> </w:t>
      </w:r>
      <w:r>
        <w:t xml:space="preserve">into Tier-1 (private website binary, available all waves) and Tier-2 (e-payment percentage via UPI rails, 2025 BREADY only). The UPI Tier-2 interaction with export intensity is</w:t>
      </w:r>
      <w:r>
        <w:t xml:space="preserve"> </w:t>
      </w:r>
      <w:r>
        <w:rPr>
          <w:bCs/>
          <w:b/>
        </w:rPr>
        <w:t xml:space="preserve">negative</w:t>
      </w:r>
      <w:r>
        <w:t xml:space="preserve"> </w:t>
      </w:r>
      <w:r>
        <w:t xml:space="preserve">(FSTS × DAI_epay = −4.02, p = 0.004), refuting the developmental-state substitution hypothesis. We interpret this as a complementarity: domestic-rupee UPI infrastructure does not substitute for the cross-border financial infrastructure (SWIFT, correspondent banking, trade finance, export-credit insurance) that exporters specifically require.</w:t>
      </w:r>
    </w:p>
    <w:p>
      <w:pPr>
        <w:pStyle w:val="BodyText"/>
      </w:pPr>
      <w:r>
        <w:t xml:space="preserve">Third, the manuscript documents a</w:t>
      </w:r>
      <w:r>
        <w:t xml:space="preserve"> </w:t>
      </w:r>
      <w:r>
        <w:rPr>
          <w:bCs/>
          <w:b/>
        </w:rPr>
        <w:t xml:space="preserve">context-dependent sign reversal</w:t>
      </w:r>
      <w:r>
        <w:t xml:space="preserve"> </w:t>
      </w:r>
      <w:r>
        <w:t xml:space="preserve">of the Technological Capability Index, a positive level-shifter of productivity in 2014 and 2022 that flips negative in 2025 with a positive export-intensity interaction, consistent with the strategic-emphasis trade-off under post-PLI/Atmanirbhar Bharat redirection.</w:t>
      </w:r>
    </w:p>
    <w:p>
      <w:pPr>
        <w:pStyle w:val="BodyText"/>
      </w:pPr>
      <w:r>
        <w:rPr>
          <w:bCs/>
          <w:b/>
        </w:rPr>
        <w:t xml:space="preserve">Prior Related Work, Transparent Disclosure</w:t>
      </w:r>
    </w:p>
    <w:p>
      <w:pPr>
        <w:pStyle w:val="BodyText"/>
      </w:pPr>
      <w:r>
        <w:t xml:space="preserve">We disclose that we have previously published a related but distinct study on Indian firms in a book chapter (Do &amp; Phan, 2025, IntechOpen, DOI 10.5772/intechopen.1011012). That chapter used a matched sub-sample of 380 firms (760 firm-year observations), a linear DOI specification, FGLS panel estimation, and an Uppsala + Upper Echelons theoretical lens to test moderation by top-management characteristics. The present manuscript is fundamentally different in theoretical lens (the institutions-based view with Conditional Digital Capability Moderation), specification (quadratic inverted-U with Lind–Mehlum and Paternoster z-tests), moderators (TCI + DAI Tier-1 + DAI Tier-2), sample (full WBES across three waves, up to 10,479 firms per wave), and research question (threshold dynamics under institutional shift). We have included a transparent self-citation in the manuscript, and a full differentiation memo is available in the replication package. The empirical analysis reported here has not been published in whole or in substantive part.</w:t>
      </w:r>
    </w:p>
    <w:p>
      <w:pPr>
        <w:pStyle w:val="BodyText"/>
      </w:pPr>
      <w:r>
        <w:rPr>
          <w:bCs/>
          <w:b/>
        </w:rPr>
        <w:t xml:space="preserve">Originality and Conflicts of Interest</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w:t>
      </w:r>
    </w:p>
    <w:p>
      <w:pPr>
        <w:pStyle w:val="BodyText"/>
      </w:pPr>
      <w:r>
        <w:rPr>
          <w:bCs/>
          <w:b/>
        </w:rPr>
        <w:t xml:space="preserve">Manuscript Classification</w:t>
      </w:r>
    </w:p>
    <w:p>
      <w:pPr>
        <w:pStyle w:val="BodyText"/>
      </w:pPr>
      <w:r>
        <w:t xml:space="preserve">Paper type: Research article</w:t>
      </w:r>
      <w:r>
        <w:t xml:space="preserve"> </w:t>
      </w:r>
      <w:r>
        <w:t xml:space="preserve">Word count (main text, excluding abstract, references, tables, and figures): approximately 8,500 words</w:t>
      </w:r>
      <w:r>
        <w:t xml:space="preserve"> </w:t>
      </w:r>
      <w:r>
        <w:t xml:space="preserve">Tables: 5; Figures: 4</w:t>
      </w:r>
      <w:r>
        <w:t xml:space="preserve"> </w:t>
      </w:r>
      <w:r>
        <w:t xml:space="preserve">Keywords: internationalisation–performance; export intensity; threshold stability; India; UPI; digital capability; technological capability; institutional transformation; emerging markets; Conditional Digital Capability Moderation</w:t>
      </w:r>
      <w:r>
        <w:t xml:space="preserve"> </w:t>
      </w:r>
      <w:r>
        <w:t xml:space="preserve">JEL classification: F23, O33, D22, L25, O53, O25</w:t>
      </w:r>
    </w:p>
    <w:p>
      <w:pPr>
        <w:pStyle w:val="BodyText"/>
      </w:pPr>
      <w:r>
        <w:t xml:space="preserve">We hope the manuscript will be of interest to IJOEM's readership and look forward to the review process.</w:t>
      </w:r>
    </w:p>
    <w:p>
      <w:pPr>
        <w:pStyle w:val="BodyText"/>
      </w:pPr>
      <w:r>
        <w:t xml:space="preserve">Yours sincerely,</w:t>
      </w:r>
    </w:p>
    <w:p>
      <w:pPr>
        <w:pStyle w:val="BodyText"/>
      </w:pPr>
      <w:r>
        <w:t xml:space="preserve">Đỗ Thùy Hương (Do Thuy Huong)</w:t>
      </w:r>
      <w:r>
        <w:t xml:space="preserve"> </w:t>
      </w:r>
      <w:r>
        <w:t xml:space="preserve">PhD Candidate, College of Economics, Can Tho University (CTU), Vietnam</w:t>
      </w:r>
      <w:r>
        <w:t xml:space="preserve"> </w:t>
      </w:r>
      <w:r>
        <w:t xml:space="preserve">Email:</w:t>
      </w:r>
      <w:r>
        <w:t xml:space="preserve"> </w:t>
      </w:r>
      <w:hyperlink r:id="rId20">
        <w:r>
          <w:rPr>
            <w:rStyle w:val="Hyperlink"/>
          </w:rPr>
          <w:t xml:space="preserve">huongp1323001@gstudent.ctu.edu.vn</w:t>
        </w:r>
      </w:hyperlink>
      <w:r>
        <w:t xml:space="preserve"> </w:t>
      </w:r>
      <w:r>
        <w:t xml:space="preserve">| ORCID: 0000-0002-7711-2487</w:t>
      </w:r>
    </w:p>
    <w:p>
      <w:pPr>
        <w:pStyle w:val="BodyText"/>
      </w:pPr>
      <w:r>
        <w:t xml:space="preserve">PGS.TS. Phan Anh Tú (Phan Anh Tu)</w:t>
      </w:r>
      <w:r>
        <w:t xml:space="preserve"> </w:t>
      </w:r>
      <w:r>
        <w:t xml:space="preserve">Associate Professor, College of Economics, Can Tho University (CTU), Vietnam, Corresponding author</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2026-06-09T06:00:07Z</dcterms:created>
  <dcterms:modified xsi:type="dcterms:W3CDTF">2026-06-09T06:00:07Z</dcterms:modified>
</cp:coreProperties>
</file>

<file path=docProps/custom.xml><?xml version="1.0" encoding="utf-8"?>
<Properties xmlns="http://schemas.openxmlformats.org/officeDocument/2006/custom-properties" xmlns:vt="http://schemas.openxmlformats.org/officeDocument/2006/docPropsVTypes"/>
</file>