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4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Journal of Asia Business Studies (Emerald Publishing).</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institutional and digital transformation decade from 2014 to 2025. The analysis also tests whether technological and digital capabilities moderate the threshold. India's 2016 to 2020 reform window covers demonetisation, Goods and Services Tax (GST), Insolvency and Bankruptcy Code (IBC), Unified Payments Interface (UPI) saturation, the Production-Linked Incentive (PLI) scheme, and the Atmanirbhar Bharat self-reliance policy. This window provides an unusually demanding stress test for the threshold-stability claim.</w:t>
      </w:r>
    </w:p>
    <w:p>
      <w:pPr>
        <w:pStyle w:val="BodyText"/>
      </w:pPr>
      <w:r>
        <w:rPr>
          <w:bCs/>
          <w:b/>
        </w:rPr>
        <w:t xml:space="preserve">Design/methodology/approach.</w:t>
      </w:r>
      <w:r>
        <w:t xml:space="preserve"> </w:t>
      </w:r>
      <w:r>
        <w:t xml:space="preserve">Three waves of World Bank Enterprise Survey microdata for India (2014 PICS3, N = 9,281; 2022 BEE, N = 9,376; 2025 BREADY, N = 10,479; pooled raw N = 29,136) are estimated via OLS with HC1 robust standard errors, quadratic FSTS terms, and capability interactions. Lind–Mehlum U-tests verify the inverted-U per wave; Paternoster cross-wave z-tests evaluate coefficient equality between 2014 and 2025 (primary 11-year window); the 2022 wave provides 3-wave robustness with linear and quadratic time trends. UPI rollout (April 2016) provides a quasi-natural experiment for DAI saturation between the two primary waves.</w:t>
      </w:r>
    </w:p>
    <w:p>
      <w:pPr>
        <w:pStyle w:val="BodyText"/>
      </w:pPr>
      <w:r>
        <w:rPr>
          <w:bCs/>
          <w:b/>
        </w:rPr>
        <w:t xml:space="preserve">Findings.</w:t>
      </w:r>
      <w:r>
        <w:t xml:space="preserve"> </w:t>
      </w:r>
      <w:r>
        <w:t xml:space="preserve">The results indicate a structural collapse of the inverted-U. In 2014, the relationship is classically inverted-U with turning point at FSTS = 61.8 per cent (95 per cent CI: 55.0, 68.6) and Lind–Mehlum joint p &lt; 0.0001. By 2022, the inverted-U remains but the turning point moves inward to 40.7 per cent (95 per cent CI: 38.0, 43.5). By 2025, the curvature term loses statistical significance (β₂ = −0.16, p = 0.42). The relationship becomes monotonically negative across the full FSTS range. Paternoster cross-wave z-tests reject coefficient equality for both linear (z = −7.94, p &lt; 0.0001) and quadratic (z = +4.17, p &lt; 0.0001) terms between 2014 and 2025. The 3-wave pooled robustness with wave dummies confirms FSTS × wave_2025 = −1.63 (p &lt; 0.0001). The UPI Tier-2 e-payment interaction is negative (FSTS × DAI_epay = −4.02, p = 0.004). This suggests that domestic-rupee digital infrastructure does not substitute for the cross-border financial infrastructure that exporters require.</w:t>
      </w:r>
    </w:p>
    <w:p>
      <w:pPr>
        <w:pStyle w:val="BodyText"/>
      </w:pPr>
      <w:r>
        <w:rPr>
          <w:bCs/>
          <w:b/>
        </w:rPr>
        <w:t xml:space="preserve">Research limitations/implications.</w:t>
      </w:r>
      <w:r>
        <w:t xml:space="preserve"> </w:t>
      </w:r>
      <w:r>
        <w:t xml:space="preserve">The three waves are independent cross-sections rather than within-firm panels, supporting cross-wave comparison but not within-firm causal inference. The 2014 (PICS3), 2022 (BEE intermediate), and 2025 (BREADY) instruments differ in DAI instrumentation (Tier-1 only vs Tier-1 + Tier-2 e-payment), constraining 3-wave DAI moderation tests to Tier-1 unless the 2025-only Tier-2 analysis is treated as exploratory.</w:t>
      </w:r>
    </w:p>
    <w:p>
      <w:pPr>
        <w:pStyle w:val="BodyText"/>
      </w:pPr>
      <w:r>
        <w:rPr>
          <w:bCs/>
          <w:b/>
        </w:rPr>
        <w:t xml:space="preserve">Practical implications.</w:t>
      </w:r>
      <w:r>
        <w:t xml:space="preserve"> </w:t>
      </w:r>
      <w:r>
        <w:t xml:space="preserve">For Indian SME export-promotion policy under Atmanirbhar Bharat and the PLI scheme, the disappearance of the inverted-U turning point implies that prior export-intensity targets are no longer empirically defensible for the 2025 institutional environment. The 2014 productivity-maximising FSTS of approximately 60 per cent no longer characterises the 2025 firm-level production function. For digital infrastructure policy, the negative Tier-2 DAI moderation refutes the simple substitution hypothesis. Domestically-oriented UPI rails do not substitute for the cross-border financial infrastructure that exporters require (SWIFT, correspondent banking, trade finance, export-credit insurance). Policy investment in cross-border-specific digital infrastructure is the binding constraint on internationalisation productivity.</w:t>
      </w:r>
    </w:p>
    <w:p>
      <w:pPr>
        <w:pStyle w:val="BodyText"/>
      </w:pPr>
      <w:r>
        <w:rPr>
          <w:bCs/>
          <w:b/>
        </w:rPr>
        <w:t xml:space="preserve">Social implications.</w:t>
      </w:r>
      <w:r>
        <w:t xml:space="preserve"> </w:t>
      </w:r>
      <w:r>
        <w:t xml:space="preserve">Findings inform South Asian SME inclusion in global value chains. The Indian case demonstrates that publicly provisioned domestic digital infrastructure (UPI, Aadhaar, ONDC) and cross-border export infrastructure are complements rather than substitutes in the export production function. Inclusive export growth requires policy investment in both layers.</w:t>
      </w:r>
    </w:p>
    <w:p>
      <w:pPr>
        <w:pStyle w:val="BodyText"/>
      </w:pPr>
      <w:r>
        <w:rPr>
          <w:bCs/>
          <w:b/>
        </w:rPr>
        <w:t xml:space="preserve">Originality/value.</w:t>
      </w:r>
      <w:r>
        <w:t xml:space="preserve"> </w:t>
      </w:r>
      <w:r>
        <w:t xml:space="preserve">This study provides the first firm-level evidence that extreme institutional transformation can dissolve the inverted-U threshold, rather than relocate its turning point. The finding identifies a previously untested scope condition for the canonical Lu and Beamish (2004) inverted-U claim. The threshold is conditional on institutional stability. The authors' earlier work on Indian firms (Do and Phan, 2025) uses a linear DOI specification, FGLS estimation, 380 matched firms, and an Upper Echelons theoretical lens. It is acknowledged here only as prior author work.</w:t>
      </w:r>
    </w:p>
    <w:p>
      <w:pPr>
        <w:pStyle w:val="BodyText"/>
      </w:pPr>
      <w:r>
        <w:rPr>
          <w:bCs/>
          <w:b/>
        </w:rPr>
        <w:t xml:space="preserve">Keywords:</w:t>
      </w:r>
      <w:r>
        <w:t xml:space="preserve"> </w:t>
      </w:r>
      <w:r>
        <w:t xml:space="preserve">internationalisation–performance; export intensity; threshold stability; India; UPI; digital capability; technological capability; institutional transformation; emerging markets;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unprecedented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This study makes three contributions. Firstly,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the analysis refines the developmental-state literature on public digital infrastructure by showing that public and private digital infrastructure are complements rather than substitutes in the export production function. India's UPI rails are transformative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X8bf20a63f0decf7b16e99d564b9958ec4fbbb23"/>
    <w:p>
      <w:pPr>
        <w:pStyle w:val="Heading2"/>
      </w:pPr>
      <w:r>
        <w:t xml:space="preserve">2. Theory and Hypotheses</w:t>
      </w:r>
    </w:p>
    <w:bookmarkStart w:id="23" w:name="Xcec8abb30929305ffaf22433e6006159dcafc70"/>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318c1fea634a10967c98191445c5d08ccb10924"/>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unprecedented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X060d31242d4306baafc5e03914e6254ae49e087"/>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0ff06f102d45fcb8fa4478a82f55fd8f58f23cc"/>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unprecedented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Xd220370935321604b8cdfc5a5895802593c0b72"/>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BodyText"/>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r>
        <w:t xml:space="preserve">{width=6.5in}</w:t>
      </w:r>
    </w:p>
    <w:bookmarkEnd w:id="30"/>
    <w:bookmarkEnd w:id="31"/>
    <w:bookmarkStart w:id="37" w:name="X5eb800a903106e48a684e9ea9de39ed619b9df8"/>
    <w:p>
      <w:pPr>
        <w:pStyle w:val="Heading2"/>
      </w:pPr>
      <w:r>
        <w:t xml:space="preserve">3. Data and Methods</w:t>
      </w:r>
    </w:p>
    <w:bookmarkStart w:id="33" w:name="Xe44c7198c5f456f0b96f26ab6247749e5a25829"/>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w:t>
      </w:r>
      <w:r>
        <w:t xml:space="preserve"> </w:t>
      </w:r>
      <w:hyperlink r:id="rId32">
        <w:r>
          <w:rPr>
            <w:rStyle w:val="Hyperlink"/>
          </w:rPr>
          <w:t xml:space="preserve">https://www.enterprisesurveys.org</w:t>
        </w:r>
      </w:hyperlink>
      <w:r>
        <w:t xml:space="preserve"> </w:t>
      </w:r>
      <w:r>
        <w:t xml:space="preserve">subject to World Bank registration.</w:t>
      </w:r>
    </w:p>
    <w:bookmarkEnd w:id="33"/>
    <w:bookmarkStart w:id="34" w:name="Xbcf9f12e79107fa2c089aaf13fc6c4fb773f1c2"/>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4"/>
    <w:bookmarkStart w:id="35" w:name="X4b795af974b5b07f42f16cec52da76c45fb8d2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5"/>
    <w:bookmarkStart w:id="36" w:name="Xfcfef551bab64293bca084b9d423d059a51f3c8"/>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 "monotone or U" 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Sample sizes after listwise deletion on focal variables and firmage validation (capped at [0, 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8"/>
    <w:bookmarkStart w:id="42" w:name="X3623da6fd251cdd708736906f4e561251a5ae18"/>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 * p &lt; 0.05, ** p &lt; 0.01, *** p &lt; 0.001. Turning point computed as TP = −β̂₁ / (2β̂₂); reported only for waves with inverted-U supported in Lind–Mehlum test.</w:t>
      </w:r>
    </w:p>
    <w:p>
      <w:pPr>
        <w:pStyle w:val="BodyText"/>
      </w:pPr>
      <w:r>
        <w:drawing>
          <wp:inline>
            <wp:extent cx="5334000" cy="3130882"/>
            <wp:effectExtent b="0" l="0" r="0" t="0"/>
            <wp:docPr descr="Figure 2. Wave-specific predicted I-P relationship — India 2014, 2022, 2025." title="" id="40" name="Picture"/>
            <a:graphic>
              <a:graphicData uri="http://schemas.openxmlformats.org/drawingml/2006/picture">
                <pic:pic>
                  <pic:nvPicPr>
                    <pic:cNvPr descr="/home/user/MY_THESIS_PHD_CANDIDATE_26/p9_india/replication/figures/figure_2_predicted_curves.png" id="41" name="Picture"/>
                    <pic:cNvPicPr>
                      <a:picLocks noChangeArrowheads="1" noChangeAspect="1"/>
                    </pic:cNvPicPr>
                  </pic:nvPicPr>
                  <pic:blipFill>
                    <a:blip r:embed="rId39"/>
                    <a:stretch>
                      <a:fillRect/>
                    </a:stretch>
                  </pic:blipFill>
                  <pic:spPr bwMode="auto">
                    <a:xfrm>
                      <a:off x="0" y="0"/>
                      <a:ext cx="5334000" cy="3130882"/>
                    </a:xfrm>
                    <a:prstGeom prst="rect">
                      <a:avLst/>
                    </a:prstGeom>
                    <a:noFill/>
                    <a:ln w="9525">
                      <a:noFill/>
                      <a:headEnd/>
                      <a:tailEnd/>
                    </a:ln>
                  </pic:spPr>
                </pic:pic>
              </a:graphicData>
            </a:graphic>
          </wp:inline>
        </w:drawing>
      </w:r>
      <w:r>
        <w:t xml:space="preserve">{width=6.5in}</w:t>
      </w:r>
    </w:p>
    <w:bookmarkEnd w:id="42"/>
    <w:bookmarkStart w:id="46" w:name="Xa2a3c373760265790b1a8e7b307529c391ea560"/>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BodyText"/>
      </w:pPr>
      <w:r>
        <w:drawing>
          <wp:inline>
            <wp:extent cx="5334000" cy="3485437"/>
            <wp:effectExtent b="0" l="0" r="0" t="0"/>
            <wp:docPr descr="Figure 3. Turning-point estimates and 2025 threshold collapse." title="" id="44" name="Picture"/>
            <a:graphic>
              <a:graphicData uri="http://schemas.openxmlformats.org/drawingml/2006/picture">
                <pic:pic>
                  <pic:nvPicPr>
                    <pic:cNvPr descr="/home/user/MY_THESIS_PHD_CANDIDATE_26/p9_india/replication/figures/figure_3_turning_points.png" id="45" name="Picture"/>
                    <pic:cNvPicPr>
                      <a:picLocks noChangeArrowheads="1" noChangeAspect="1"/>
                    </pic:cNvPicPr>
                  </pic:nvPicPr>
                  <pic:blipFill>
                    <a:blip r:embed="rId43"/>
                    <a:stretch>
                      <a:fillRect/>
                    </a:stretch>
                  </pic:blipFill>
                  <pic:spPr bwMode="auto">
                    <a:xfrm>
                      <a:off x="0" y="0"/>
                      <a:ext cx="5334000" cy="3485437"/>
                    </a:xfrm>
                    <a:prstGeom prst="rect">
                      <a:avLst/>
                    </a:prstGeom>
                    <a:noFill/>
                    <a:ln w="9525">
                      <a:noFill/>
                      <a:headEnd/>
                      <a:tailEnd/>
                    </a:ln>
                  </pic:spPr>
                </pic:pic>
              </a:graphicData>
            </a:graphic>
          </wp:inline>
        </w:drawing>
      </w:r>
      <w:r>
        <w:t xml:space="preserve">{width=6.5in}</w:t>
      </w:r>
    </w:p>
    <w:bookmarkEnd w:id="46"/>
    <w:bookmarkStart w:id="47" w:name="Xf60927d55a91114fea779cf36ab4cc04d3fbe2b"/>
    <w:p>
      <w:pPr>
        <w:pStyle w:val="Heading3"/>
      </w:pPr>
      <w:r>
        <w:t xml:space="preserve">4.4 Three-wave pooled robustness</w:t>
      </w:r>
    </w:p>
    <w:p>
      <w:pPr>
        <w:pStyle w:val="FirstParagraph"/>
      </w:pPr>
      <w:r>
        <w:t xml:space="preserve">The pooled 3-wave model with wave dummies (N = 28,742,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7"/>
    <w:bookmarkStart w:id="51" w:name="Xfa6d62402842924c5c02d4fc334ff0a94d1ce6a"/>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 * p &lt; 0.05, ** p &lt; 0.01, *** p &lt; 0.001. Controls (ln(Employees), firm age, foreign ownership) included but suppressed for space.</w:t>
      </w:r>
    </w:p>
    <w:p>
      <w:pPr>
        <w:pStyle w:val="BodyText"/>
      </w:pPr>
      <w:r>
        <w:drawing>
          <wp:inline>
            <wp:extent cx="5334000" cy="3738442"/>
            <wp:effectExtent b="0" l="0" r="0" t="0"/>
            <wp:docPr descr="Figure 4. UPI rollout and Indian institutional shocks, 2014-2025." title="" id="49" name="Picture"/>
            <a:graphic>
              <a:graphicData uri="http://schemas.openxmlformats.org/drawingml/2006/picture">
                <pic:pic>
                  <pic:nvPicPr>
                    <pic:cNvPr descr="/home/user/MY_THESIS_PHD_CANDIDATE_26/p9_india/replication/figures/figure_4_upi_timeline.png" id="50" name="Picture"/>
                    <pic:cNvPicPr>
                      <a:picLocks noChangeArrowheads="1" noChangeAspect="1"/>
                    </pic:cNvPicPr>
                  </pic:nvPicPr>
                  <pic:blipFill>
                    <a:blip r:embed="rId48"/>
                    <a:stretch>
                      <a:fillRect/>
                    </a:stretch>
                  </pic:blipFill>
                  <pic:spPr bwMode="auto">
                    <a:xfrm>
                      <a:off x="0" y="0"/>
                      <a:ext cx="5334000" cy="3738442"/>
                    </a:xfrm>
                    <a:prstGeom prst="rect">
                      <a:avLst/>
                    </a:prstGeom>
                    <a:noFill/>
                    <a:ln w="9525">
                      <a:noFill/>
                      <a:headEnd/>
                      <a:tailEnd/>
                    </a:ln>
                  </pic:spPr>
                </pic:pic>
              </a:graphicData>
            </a:graphic>
          </wp:inline>
        </w:drawing>
      </w:r>
      <w:r>
        <w:t xml:space="preserve">{width=6.5in}</w:t>
      </w:r>
    </w:p>
    <w:bookmarkEnd w:id="51"/>
    <w:bookmarkStart w:id="52" w:name="X7b68f907ed55e65a2ee44288bf21fafeaedb955"/>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 * 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2"/>
    <w:bookmarkEnd w:id="53"/>
    <w:bookmarkStart w:id="60" w:name="X735612638e4e736e4693e459c258977262c0dfc"/>
    <w:p>
      <w:pPr>
        <w:pStyle w:val="Heading2"/>
      </w:pPr>
      <w:r>
        <w:t xml:space="preserve">5. Discussion</w:t>
      </w:r>
    </w:p>
    <w:bookmarkStart w:id="54" w:name="Xc19094a4c16362caac43b24a1cfd1e566bed788"/>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4"/>
    <w:bookmarkStart w:id="55" w:name="X5aa2e568177abc248bc73a150f5dd80385661c2"/>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5"/>
    <w:bookmarkStart w:id="56" w:name="Xfb124a5024cf96d638b9a68daad9b3c0689502a"/>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unprecedented strategic redirection, even firm-level capability constructs behave differently.</w:t>
      </w:r>
    </w:p>
    <w:bookmarkEnd w:id="56"/>
    <w:bookmarkStart w:id="57" w:name="Xba25a0532df081593fbba6823962c8a78aab254"/>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 "what is the optimal export intensity?" but "under what institutional conditions does an optimum re-emerge?" 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7"/>
    <w:bookmarkStart w:id="58" w:name="X6fb952f48fe7386a51cacff4bb40301fd98916c"/>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8"/>
    <w:bookmarkStart w:id="59" w:name="X5106f0fe7d7b3d0e8858d892c327902f1f4cfd1"/>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9"/>
    <w:bookmarkEnd w:id="60"/>
    <w:bookmarkStart w:id="61" w:name="Xf3d63d3bef15b3e862b66ed5bd48a577996a1bc"/>
    <w:p>
      <w:pPr>
        <w:pStyle w:val="Heading2"/>
      </w:pPr>
      <w:r>
        <w:t xml:space="preserve">6. Limitations and Future Research</w:t>
      </w:r>
    </w:p>
    <w:p>
      <w:pPr>
        <w:pStyle w:val="FirstParagraph"/>
      </w:pPr>
      <w:r>
        <w:t xml:space="preserve">The substantive limitations are detailed in §5.6.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1"/>
    <w:bookmarkStart w:id="62"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2"/>
    <w:bookmarkStart w:id="63" w:name="conflict-of-interest"/>
    <w:p>
      <w:pPr>
        <w:pStyle w:val="Heading2"/>
      </w:pPr>
      <w:r>
        <w:t xml:space="preserve">Conflict of Interest</w:t>
      </w:r>
    </w:p>
    <w:p>
      <w:pPr>
        <w:pStyle w:val="FirstParagraph"/>
      </w:pPr>
      <w:r>
        <w:t xml:space="preserve">The authors declare no conflict of interest.</w:t>
      </w:r>
    </w:p>
    <w:bookmarkEnd w:id="63"/>
    <w:bookmarkStart w:id="6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4"/>
    <w:bookmarkStart w:id="65" w:name="data-availability-statement"/>
    <w:p>
      <w:pPr>
        <w:pStyle w:val="Heading2"/>
      </w:pPr>
      <w:r>
        <w:t xml:space="preserve">Data availability statement</w:t>
      </w:r>
    </w:p>
    <w:p>
      <w:pPr>
        <w:pStyle w:val="FirstParagraph"/>
      </w:pPr>
      <w:r>
        <w:t xml:space="preserve">WBES India 2014, 2022, and 2025 microdata are publicly available via</w:t>
      </w:r>
      <w:r>
        <w:t xml:space="preserve"> </w:t>
      </w:r>
      <w:hyperlink r:id="rId32">
        <w:r>
          <w:rPr>
            <w:rStyle w:val="Hyperlink"/>
          </w:rPr>
          <w:t xml:space="preserve">https://www.enterprisesurveys.org</w:t>
        </w:r>
      </w:hyperlink>
      <w:r>
        <w:t xml:space="preserve"> </w:t>
      </w:r>
      <w:r>
        <w:t xml:space="preserve">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5"/>
    <w:bookmarkStart w:id="6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6"/>
    <w:bookmarkStart w:id="68" w:name="references"/>
    <w:p>
      <w:pPr>
        <w:pStyle w:val="Heading2"/>
      </w:pPr>
      <w:r>
        <w:t xml:space="preserve">References</w:t>
      </w:r>
    </w:p>
    <w:p>
      <w:pPr>
        <w:pStyle w:val="FirstParagraph"/>
      </w:pPr>
      <w:r>
        <w:t xml:space="preserve">Ackerberg, D.A., Caves, K. and Frazer, G. (2015), "Identification properties of recent production function estimators",</w:t>
      </w:r>
      <w:r>
        <w:t xml:space="preserve"> </w:t>
      </w:r>
      <w:r>
        <w:rPr>
          <w:iCs/>
          <w:i/>
        </w:rPr>
        <w:t xml:space="preserve">Econometrica</w:t>
      </w:r>
      <w:r>
        <w:t xml:space="preserve">, Vol. 83 No. 6, pp. 2411–2451.</w:t>
      </w:r>
    </w:p>
    <w:p>
      <w:pPr>
        <w:pStyle w:val="BodyText"/>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Asher, S. and Novosad, P. (2017), "Politics and local economic growth: evidence from India",</w:t>
      </w:r>
      <w:r>
        <w:t xml:space="preserve"> </w:t>
      </w:r>
      <w:r>
        <w:rPr>
          <w:iCs/>
          <w:i/>
        </w:rPr>
        <w:t xml:space="preserve">American Economic Journal: Applied Economics</w:t>
      </w:r>
      <w:r>
        <w:t xml:space="preserve">, Vol. 9 No. 1, pp. 229–273.</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 471–482.</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De Loecker, J. (2013), "Detecting learning by exporting",</w:t>
      </w:r>
      <w:r>
        <w:t xml:space="preserve"> </w:t>
      </w:r>
      <w:r>
        <w:rPr>
          <w:iCs/>
          <w:i/>
        </w:rPr>
        <w:t xml:space="preserve">American Economic Journal: Microeconomics</w:t>
      </w:r>
      <w:r>
        <w:t xml:space="preserve">, Vol. 5 No. 3, pp. 1–21.</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67">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Geleilate, J.G., Magnusson, P., Parente, R.C. and Alvarado-Vargas, M.J. (2016), "Home country institutional effects on the multinationality–performance relationship: a comparison between emerging and developed market multinationals",</w:t>
      </w:r>
      <w:r>
        <w:t xml:space="preserve"> </w:t>
      </w:r>
      <w:r>
        <w:rPr>
          <w:iCs/>
          <w:i/>
        </w:rPr>
        <w:t xml:space="preserve">Journal of International Management</w:t>
      </w:r>
      <w:r>
        <w:t xml:space="preserve">, Vol. 22 No. 4, pp. 380–402.</w:t>
      </w:r>
    </w:p>
    <w:p>
      <w:pPr>
        <w:pStyle w:val="BodyText"/>
      </w:pPr>
      <w:r>
        <w:t xml:space="preserve">Goldfarb, A. and Tucker, C. (2019), "Digital economics",</w:t>
      </w:r>
      <w:r>
        <w:t xml:space="preserve"> </w:t>
      </w:r>
      <w:r>
        <w:rPr>
          <w:iCs/>
          <w:i/>
        </w:rPr>
        <w:t xml:space="preserve">Journal of Economic Literature</w:t>
      </w:r>
      <w:r>
        <w:t xml:space="preserve">, Vol. 57 No. 1, pp. 3–43.</w:t>
      </w:r>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 1177–1195.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Hoskisson, R.E., Eden, L., Lau, C.M. and Wright, M. (2000), "Strategy in emerging economies",</w:t>
      </w:r>
      <w:r>
        <w:t xml:space="preserve"> </w:t>
      </w:r>
      <w:r>
        <w:rPr>
          <w:iCs/>
          <w:i/>
        </w:rPr>
        <w:t xml:space="preserve">Academy of Management Journal</w:t>
      </w:r>
      <w:r>
        <w:t xml:space="preserve">, Vol. 43 No. 3, pp. 249–267.</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Khanna, T. and Palepu, K.G. (2010),</w:t>
      </w:r>
      <w:r>
        <w:t xml:space="preserve"> </w:t>
      </w:r>
      <w:r>
        <w:rPr>
          <w:iCs/>
          <w:i/>
        </w:rPr>
        <w:t xml:space="preserve">Winning in Emerging Markets: A Road Map for Strategy and Execution</w:t>
      </w:r>
      <w:r>
        <w:t xml:space="preserve">, Harvard Business Review Press, Boston, MA.</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Melitz, M.J. (2003), "The impact of trade on intra-industry reallocations and aggregate industry productivity",</w:t>
      </w:r>
      <w:r>
        <w:t xml:space="preserve"> </w:t>
      </w:r>
      <w:r>
        <w:rPr>
          <w:iCs/>
          <w:i/>
        </w:rPr>
        <w:t xml:space="preserve">Econometrica</w:t>
      </w:r>
      <w:r>
        <w:t xml:space="preserve">, Vol. 71 No. 6, pp. 1695–1725.</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Olley, G.S. and Pakes, A. (1996), "The dynamics of productivity in the telecommunications equipment industry",</w:t>
      </w:r>
      <w:r>
        <w:t xml:space="preserve"> </w:t>
      </w:r>
      <w:r>
        <w:rPr>
          <w:iCs/>
          <w:i/>
        </w:rPr>
        <w:t xml:space="preserve">Econometrica</w:t>
      </w:r>
      <w:r>
        <w:t xml:space="preserve">, Vol. 64 No. 6, pp. 1263–1297.</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Sambharya, R.B. (1996), "Foreign experience of top management teams and international diversification strategies of US multinational corporations",</w:t>
      </w:r>
      <w:r>
        <w:t xml:space="preserve"> </w:t>
      </w:r>
      <w:r>
        <w:rPr>
          <w:iCs/>
          <w:i/>
        </w:rPr>
        <w:t xml:space="preserve">Strategic Management Journal</w:t>
      </w:r>
      <w:r>
        <w:t xml:space="preserve">, Vol. 17 No. 9, pp. 739–746.</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 118–144.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p>
      <w:pPr>
        <w:pStyle w:val="FirstParagraph"/>
      </w:pPr>
      <w:r>
        <w:rPr>
          <w:iCs/>
          <w:i/>
        </w:rPr>
        <w:t xml:space="preserve">Manuscript draft version 2026-06-02. Empirical sections complete; Section 4.6 robustness expansion (manufacturing sub-sample, trimmed FSTS, wild cluster bootstrap) and Figure rendering pending.</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2026-06-09T06:00:08Z</dcterms:created>
  <dcterms:modified xsi:type="dcterms:W3CDTF">2026-06-09T06:00:08Z</dcterms:modified>
</cp:coreProperties>
</file>

<file path=docProps/custom.xml><?xml version="1.0" encoding="utf-8"?>
<Properties xmlns="http://schemas.openxmlformats.org/officeDocument/2006/custom-properties" xmlns:vt="http://schemas.openxmlformats.org/officeDocument/2006/docPropsVTypes"/>
</file>