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uthor-title-page-p9-india"/>
    <w:p>
      <w:pPr>
        <w:pStyle w:val="Heading1"/>
      </w:pPr>
      <w:r>
        <w:t xml:space="preserve">Author Title Page, P9' India</w:t>
      </w:r>
    </w:p>
    <w:p>
      <w:pPr>
        <w:pStyle w:val="FirstParagraph"/>
      </w:pPr>
      <w:r>
        <w:rPr>
          <w:iCs/>
          <w:i/>
        </w:rPr>
        <w:t xml:space="preserve">(Submitted separately from the blinded manuscript, not for review)</w:t>
      </w:r>
    </w:p>
    <w:bookmarkStart w:id="20" w:name="manuscript-title"/>
    <w:p>
      <w:pPr>
        <w:pStyle w:val="Heading2"/>
      </w:pPr>
      <w:r>
        <w:t xml:space="preserve">Manuscript Title</w:t>
      </w:r>
    </w:p>
    <w:p>
      <w:pPr>
        <w:pStyle w:val="FirstParagraph"/>
      </w:pPr>
      <w:r>
        <w:rPr>
          <w:bCs/>
          <w:b/>
        </w:rPr>
        <w:t xml:space="preserve">When Institutional Transformation Breaks the Threshold: The Disappearance of the Inverted-U Internationalisation–Performance Relationship in Indian Firms, 2014–2025</w:t>
      </w:r>
    </w:p>
    <w:p>
      <w:pPr>
        <w:pStyle w:val="BodyText"/>
      </w:pPr>
      <w:r>
        <w:rPr>
          <w:iCs/>
          <w:i/>
        </w:rPr>
        <w:t xml:space="preserve">Target journal:</w:t>
      </w:r>
      <w:r>
        <w:t xml:space="preserve"> </w:t>
      </w:r>
      <w:r>
        <w:t xml:space="preserve">Journal of Asia Business Studies (JABS), Emerald Publishing (Scopus Q1)</w:t>
      </w:r>
    </w:p>
    <w:p>
      <w:pPr>
        <w:pStyle w:val="BodyText"/>
      </w:pPr>
      <w:r>
        <w:rPr>
          <w:iCs/>
          <w:i/>
        </w:rPr>
        <w:t xml:space="preserve">Submission date (planned):</w:t>
      </w:r>
      <w:r>
        <w:t xml:space="preserve"> </w:t>
      </w:r>
      <w:r>
        <w:t xml:space="preserve">June 2026 (empirical analysis complete)</w:t>
      </w:r>
    </w:p>
    <w:p>
      <w:r>
        <w:pict>
          <v:rect style="width:0;height:1.5pt" o:hralign="center" o:hrstd="t" o:hr="t"/>
        </w:pict>
      </w:r>
    </w:p>
    <w:bookmarkEnd w:id="20"/>
    <w:bookmarkStart w:id="25" w:name="authors"/>
    <w:p>
      <w:pPr>
        <w:pStyle w:val="Heading2"/>
      </w:pPr>
      <w:r>
        <w:t xml:space="preserve">Authors</w:t>
      </w:r>
    </w:p>
    <w:p>
      <w:pPr>
        <w:pStyle w:val="FirstParagraph"/>
      </w:pPr>
      <w:r>
        <w:rPr>
          <w:bCs/>
          <w:b/>
        </w:rPr>
        <w:t xml:space="preserve">First Author</w:t>
      </w:r>
      <w:r>
        <w:t xml:space="preserve"> </w:t>
      </w:r>
      <w:r>
        <w:t xml:space="preserve">Đỗ Thùy Hương (Do Thuy Huong)</w:t>
      </w:r>
      <w:r>
        <w:t xml:space="preserve"> </w:t>
      </w:r>
      <w:r>
        <w:t xml:space="preserve">Position: PhD Candidate</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1">
        <w:r>
          <w:rPr>
            <w:rStyle w:val="Hyperlink"/>
          </w:rPr>
          <w:t xml:space="preserve">huongp1323001@gstudent.ctu.edu.vn</w:t>
        </w:r>
      </w:hyperlink>
      <w:r>
        <w:t xml:space="preserve"> </w:t>
      </w:r>
      <w:r>
        <w:t xml:space="preserve">ORCID: 0000-0002-7711-2487 (</w:t>
      </w:r>
      <w:hyperlink r:id="rId22">
        <w:r>
          <w:rPr>
            <w:rStyle w:val="Hyperlink"/>
          </w:rPr>
          <w:t xml:space="preserve">https://orcid.org/0000-0002-7711-2487</w:t>
        </w:r>
      </w:hyperlink>
      <w:r>
        <w:t xml:space="preserve">)</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3">
        <w:r>
          <w:rPr>
            <w:rStyle w:val="Hyperlink"/>
          </w:rPr>
          <w:t xml:space="preserve">patu@ctu.edu.vn</w:t>
        </w:r>
      </w:hyperlink>
      <w:r>
        <w:t xml:space="preserve"> </w:t>
      </w:r>
      <w:r>
        <w:t xml:space="preserve">ORCID: 0000-0003-0667-3137 (</w:t>
      </w:r>
      <w:hyperlink r:id="rId24">
        <w:r>
          <w:rPr>
            <w:rStyle w:val="Hyperlink"/>
          </w:rPr>
          <w:t xml:space="preserve">https://orcid.org/0000-0003-0667-3137</w:t>
        </w:r>
      </w:hyperlink>
      <w:r>
        <w:t xml:space="preserve">)</w:t>
      </w:r>
      <w:r>
        <w:t xml:space="preserve"> </w:t>
      </w:r>
      <w:r>
        <w:t xml:space="preserve">Role: Corresponding author</w:t>
      </w:r>
    </w:p>
    <w:p>
      <w:r>
        <w:pict>
          <v:rect style="width:0;height:1.5pt" o:hralign="center" o:hrstd="t" o:hr="t"/>
        </w:pict>
      </w:r>
    </w:p>
    <w:bookmarkEnd w:id="25"/>
    <w:bookmarkStart w:id="26"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pP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pPr>
          </w:p>
        </w:tc>
        <w:tc>
          <w:tcPr/>
          <w:p>
            <w:pPr>
              <w:pStyle w:val="Compact"/>
            </w:pP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pPr>
          </w:p>
        </w:tc>
      </w:tr>
      <w:tr>
        <w:tc>
          <w:tcPr/>
          <w:p>
            <w:pPr>
              <w:pStyle w:val="Compact"/>
              <w:jc w:val="left"/>
            </w:pPr>
            <w:r>
              <w:t xml:space="preserve">Resources</w:t>
            </w:r>
          </w:p>
        </w:tc>
        <w:tc>
          <w:tcPr/>
          <w:p>
            <w:pPr>
              <w:pStyle w:val="Compact"/>
            </w:pP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pPr>
          </w:p>
        </w:tc>
      </w:tr>
      <w:tr>
        <w:tc>
          <w:tcPr/>
          <w:p>
            <w:pPr>
              <w:pStyle w:val="Compact"/>
              <w:jc w:val="left"/>
            </w:pPr>
            <w:r>
              <w:t xml:space="preserve">Supervision</w:t>
            </w:r>
          </w:p>
        </w:tc>
        <w:tc>
          <w:tcPr/>
          <w:p>
            <w:pPr>
              <w:pStyle w:val="Compact"/>
            </w:pP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pP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6"/>
    <w:bookmarkStart w:id="28" w:name="prior-related-work-disclosure"/>
    <w:p>
      <w:pPr>
        <w:pStyle w:val="Heading2"/>
      </w:pPr>
      <w:r>
        <w:t xml:space="preserve">Prior Related Work, Disclosure</w:t>
      </w:r>
    </w:p>
    <w:p>
      <w:pPr>
        <w:pStyle w:val="FirstParagraph"/>
      </w:pPr>
      <w:r>
        <w:t xml:space="preserve">The authors have previously published a related but methodologically and theoretically distinct study on Indian firms:</w:t>
      </w:r>
    </w:p>
    <w:p>
      <w:pPr>
        <w:pStyle w:val="BlockText"/>
      </w:pPr>
      <w:r>
        <w:t xml:space="preserve">Do, T.H., &amp; Phan, A.T. (2025). Internationalization and Firm Performance of Firms in India: The Role of Top Management. In</w:t>
      </w:r>
      <w:r>
        <w:t xml:space="preserve"> </w:t>
      </w:r>
      <w:r>
        <w:rPr>
          <w:iCs/>
          <w:i/>
        </w:rPr>
        <w:t xml:space="preserve">International Business Research, Traditional and Creative Approaches</w:t>
      </w:r>
      <w:r>
        <w:t xml:space="preserve">. IntechOpen. DOI:</w:t>
      </w:r>
      <w:r>
        <w:t xml:space="preserve"> </w:t>
      </w:r>
      <w:hyperlink r:id="rId27">
        <w:r>
          <w:rPr>
            <w:rStyle w:val="Hyperlink"/>
          </w:rPr>
          <w:t xml:space="preserve">10.5772/intechopen.1011012</w:t>
        </w:r>
      </w:hyperlink>
    </w:p>
    <w:p>
      <w:pPr>
        <w:pStyle w:val="FirstParagraph"/>
      </w:pPr>
      <w:r>
        <w:t xml:space="preserve">The book chapter used a matched sub-sample of 380 firms (760 firm-year observations), a linear DOI specification, FGLS panel estimation, and an Uppsala + Upper Echelons theoretical lens to test moderation by top-management characteristics (experience, gender). The present manuscript adopts a fundamentally different theoretical lens (the institutions-based view and Conditional Digital Capability Moderation), empirical specification (quadratic inverted-U with Lind–Mehlum U-test and Paternoster z-test), moderating constructs (TCI + DAI Tier-1 + DAI Tier-2), and sample (full WBES India 2014, 2022, and 2025 with up to 10,479 firms per wave). Full differentiation memo available at</w:t>
      </w:r>
      <w:r>
        <w:t xml:space="preserve"> </w:t>
      </w:r>
      <w:r>
        <w:rPr>
          <w:rStyle w:val="VerbatimChar"/>
        </w:rPr>
        <w:t xml:space="preserve">p9_india/BOOK_CHAPTER_DIFFERENTIATION.md</w:t>
      </w:r>
      <w:r>
        <w:t xml:space="preserve"> </w:t>
      </w:r>
      <w:r>
        <w:t xml:space="preserve">in the replication package.</w:t>
      </w:r>
    </w:p>
    <w:bookmarkEnd w:id="28"/>
    <w:bookmarkStart w:id="29"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WBES India 2014, 2022, and 2025 data.</w:t>
      </w:r>
    </w:p>
    <w:bookmarkEnd w:id="29"/>
    <w:bookmarkStart w:id="30" w:name="conflict-of-interest"/>
    <w:p>
      <w:pPr>
        <w:pStyle w:val="Heading2"/>
      </w:pPr>
      <w:r>
        <w:t xml:space="preserve">Conflict of Interest</w:t>
      </w:r>
    </w:p>
    <w:p>
      <w:pPr>
        <w:pStyle w:val="FirstParagraph"/>
      </w:pPr>
      <w:r>
        <w:t xml:space="preserve">The authors declare no conflict of interest.</w:t>
      </w:r>
    </w:p>
    <w:bookmarkEnd w:id="30"/>
    <w:bookmarkStart w:id="3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1"/>
    <w:bookmarkStart w:id="33" w:name="data-availability-statement"/>
    <w:p>
      <w:pPr>
        <w:pStyle w:val="Heading2"/>
      </w:pPr>
      <w:r>
        <w:t xml:space="preserve">Data Availability Statement</w:t>
      </w:r>
    </w:p>
    <w:p>
      <w:pPr>
        <w:pStyle w:val="FirstParagraph"/>
      </w:pPr>
      <w:r>
        <w:t xml:space="preserve">WBES India 2014, 2022, and 2025 microdata are publicly available via</w:t>
      </w:r>
      <w:r>
        <w:t xml:space="preserve"> </w:t>
      </w:r>
      <w:hyperlink r:id="rId32">
        <w:r>
          <w:rPr>
            <w:rStyle w:val="Hyperlink"/>
          </w:rPr>
          <w:t xml:space="preserve">https://www.enterprisesurveys.org</w:t>
        </w:r>
      </w:hyperlink>
      <w:r>
        <w:t xml:space="preserve"> </w:t>
      </w:r>
      <w:r>
        <w:t xml:space="preserve">subject to registration. Replication materials available from corresponding author on reasonable request.</w:t>
      </w:r>
    </w:p>
    <w:bookmarkEnd w:id="33"/>
    <w:bookmarkStart w:id="34" w:name="X799c23334c5944d058eaf15944a1408ff96b683"/>
    <w:p>
      <w:pPr>
        <w:pStyle w:val="Heading2"/>
      </w:pPr>
      <w:r>
        <w:t xml:space="preserve">Use of Generative AI in the Writing Process</w:t>
      </w:r>
    </w:p>
    <w:p>
      <w:pPr>
        <w:pStyle w:val="FirstParagraph"/>
      </w:pPr>
      <w:r>
        <w:t xml:space="preserve">In accordance with Emerald Publishing's policy on the use of generative AI, the authors disclose that generative AI tools were used during manuscript preparation to assist with language editing, structure suggestions, and the assembly of the replication-package documentation. All conceptual framing, hypothesis development, empirical analysis, results interpretation, and final wording were authored by the human authors, who take full responsibility for the content of the publication.</w:t>
      </w:r>
    </w:p>
    <w:bookmarkEnd w:id="34"/>
    <w:bookmarkStart w:id="35"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~8,500 words</w:t>
            </w:r>
          </w:p>
        </w:tc>
      </w:tr>
      <w:tr>
        <w:tc>
          <w:tcPr/>
          <w:p>
            <w:pPr>
              <w:pStyle w:val="Compact"/>
              <w:jc w:val="left"/>
            </w:pPr>
            <w:r>
              <w:t xml:space="preserve">Abstract</w:t>
            </w:r>
          </w:p>
        </w:tc>
        <w:tc>
          <w:tcPr/>
          <w:p>
            <w:pPr>
              <w:pStyle w:val="Compact"/>
              <w:jc w:val="left"/>
            </w:pPr>
            <w:r>
              <w:t xml:space="preserve">Structured (Emerald format: Purpose / Design / Findings / Limitations / Practical implications / Social implications / Originality)</w:t>
            </w:r>
          </w:p>
        </w:tc>
      </w:tr>
      <w:tr>
        <w:tc>
          <w:tcPr/>
          <w:p>
            <w:pPr>
              <w:pStyle w:val="Compact"/>
              <w:jc w:val="left"/>
            </w:pPr>
            <w:r>
              <w:t xml:space="preserve">Tables</w:t>
            </w:r>
          </w:p>
        </w:tc>
        <w:tc>
          <w:tcPr/>
          <w:p>
            <w:pPr>
              <w:pStyle w:val="Compact"/>
              <w:jc w:val="left"/>
            </w:pPr>
            <w:r>
              <w:t xml:space="preserve">5 (inline)</w:t>
            </w:r>
          </w:p>
        </w:tc>
      </w:tr>
      <w:tr>
        <w:tc>
          <w:tcPr/>
          <w:p>
            <w:pPr>
              <w:pStyle w:val="Compact"/>
              <w:jc w:val="left"/>
            </w:pPr>
            <w:r>
              <w:t xml:space="preserve">Figures</w:t>
            </w:r>
          </w:p>
        </w:tc>
        <w:tc>
          <w:tcPr/>
          <w:p>
            <w:pPr>
              <w:pStyle w:val="Compact"/>
              <w:jc w:val="left"/>
            </w:pPr>
            <w:r>
              <w:t xml:space="preserve">4 (inline)</w:t>
            </w:r>
          </w:p>
        </w:tc>
      </w:tr>
      <w:tr>
        <w:tc>
          <w:tcPr/>
          <w:p>
            <w:pPr>
              <w:pStyle w:val="Compact"/>
              <w:jc w:val="left"/>
            </w:pPr>
            <w:r>
              <w:t xml:space="preserve">References</w:t>
            </w:r>
          </w:p>
        </w:tc>
        <w:tc>
          <w:tcPr/>
          <w:p>
            <w:pPr>
              <w:pStyle w:val="Compact"/>
              <w:jc w:val="left"/>
            </w:pPr>
            <w:r>
              <w:t xml:space="preserve">42</w:t>
            </w:r>
          </w:p>
        </w:tc>
      </w:tr>
      <w:tr>
        <w:tc>
          <w:tcPr/>
          <w:p>
            <w:pPr>
              <w:pStyle w:val="Compact"/>
              <w:jc w:val="left"/>
            </w:pPr>
            <w:r>
              <w:t xml:space="preserve">Keywords</w:t>
            </w:r>
          </w:p>
        </w:tc>
        <w:tc>
          <w:tcPr/>
          <w:p>
            <w:pPr>
              <w:pStyle w:val="Compact"/>
              <w:jc w:val="left"/>
            </w:pPr>
            <w:r>
              <w:t xml:space="preserve">internationalisation–performance; export intensity; threshold stability; India; UPI; digital capability; technological capability; institutional transformation; Asia; South Asia; Conditional Digital Capability Moderation</w:t>
            </w:r>
          </w:p>
        </w:tc>
      </w:tr>
      <w:tr>
        <w:tc>
          <w:tcPr/>
          <w:p>
            <w:pPr>
              <w:pStyle w:val="Compact"/>
              <w:jc w:val="left"/>
            </w:pPr>
            <w:r>
              <w:t xml:space="preserve">JEL codes</w:t>
            </w:r>
          </w:p>
        </w:tc>
        <w:tc>
          <w:tcPr/>
          <w:p>
            <w:pPr>
              <w:pStyle w:val="Compact"/>
              <w:jc w:val="left"/>
            </w:pPr>
            <w:r>
              <w:t xml:space="preserve">F23, O33, D22, L25, O53, O25</w:t>
            </w:r>
          </w:p>
        </w:tc>
      </w:tr>
      <w:tr>
        <w:tc>
          <w:tcPr/>
          <w:p>
            <w:pPr>
              <w:pStyle w:val="Compact"/>
              <w:jc w:val="left"/>
            </w:pPr>
            <w:r>
              <w:t xml:space="preserve">Data source</w:t>
            </w:r>
          </w:p>
        </w:tc>
        <w:tc>
          <w:tcPr/>
          <w:p>
            <w:pPr>
              <w:pStyle w:val="Compact"/>
              <w:jc w:val="left"/>
            </w:pPr>
            <w:r>
              <w:t xml:space="preserve">WBES India 2014 (PICS3, N=9,281) + 2022 (BEE, N=9,376) + 2025 (BREADY, N=10,479); pooled raw N=29,136; pooled analytic N=28,717</w:t>
            </w:r>
          </w:p>
        </w:tc>
      </w:tr>
      <w:tr>
        <w:tc>
          <w:tcPr/>
          <w:p>
            <w:pPr>
              <w:pStyle w:val="Compact"/>
              <w:jc w:val="left"/>
            </w:pPr>
            <w:r>
              <w:t xml:space="preserve">Software</w:t>
            </w:r>
          </w:p>
        </w:tc>
        <w:tc>
          <w:tcPr/>
          <w:p>
            <w:pPr>
              <w:pStyle w:val="Compact"/>
              <w:jc w:val="left"/>
            </w:pPr>
            <w:r>
              <w:t xml:space="preserve">Stata 17 (estimation); Python 3.12 (figures + replication checks)</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dx.doi.org/10.5772/intechopen.1011012" TargetMode="Externa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2" Target="https://www.enterprisesurveys.org"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7" Target="http://dx.doi.org/10.5772/intechopen.1011012" TargetMode="Externa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2" Target="https://www.enterprisesurveys.org"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2026-06-09T06:00:08Z</dcterms:created>
  <dcterms:modified xsi:type="dcterms:W3CDTF">2026-06-09T06:00:08Z</dcterms:modified>
</cp:coreProperties>
</file>

<file path=docProps/custom.xml><?xml version="1.0" encoding="utf-8"?>
<Properties xmlns="http://schemas.openxmlformats.org/officeDocument/2006/custom-properties" xmlns:vt="http://schemas.openxmlformats.org/officeDocument/2006/docPropsVTypes"/>
</file>