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Đặc trưng doanh nghiệp Nhật Bản 2025 so với Nhóm I (Chương 4, §4.1.5)</w:t>
      </w:r>
      <w:r>
        <w:t xml:space="preserve"> </w:t>
      </w:r>
      <w:r>
        <w:t xml:space="preserve">- Bảng 4.4. Tiến triển các mô hình lồng nhau của P7 trên khung 50 nền (Chương 4, §4.6)</w:t>
      </w:r>
      <w:r>
        <w:t xml:space="preserve"> </w:t>
      </w:r>
      <w:r>
        <w:t xml:space="preserve">- Bảng 4.5. Điểm uốn theo nhóm ICRV, khung 50 nền (Chương 4, §4.6)</w:t>
      </w:r>
      <w:r>
        <w:t xml:space="preserve"> </w:t>
      </w:r>
      <w:r>
        <w:t xml:space="preserve">- Bảng 4.6. Điểm uốn theo đợt khảo sát, Ấn Độ (Chương 4, §4.8)</w:t>
      </w:r>
      <w:r>
        <w:t xml:space="preserve"> </w:t>
      </w:r>
      <w:r>
        <w:t xml:space="preserve">- Bảng 4.7. Tổng hợp ước lượng các nghiên cứu thành phần thực nghiệm (Chương 4, §4.10)</w:t>
      </w:r>
    </w:p>
    <w:p>
      <w:pPr>
        <w:pStyle w:val="BodyText"/>
      </w:pPr>
      <w:r>
        <w:rPr>
          <w:bCs/>
          <w:b/>
        </w:rPr>
        <w:t xml:space="preserve">Bảng chuyên đề (không đánh số, theo mục):</w:t>
      </w:r>
      <w:r>
        <w:t xml:space="preserve"> </w:t>
      </w:r>
      <w:r>
        <w:t xml:space="preserve">- Bảng định nghĩa biến, Nghiên cứu P3 Việt Nam (Chương 3, §3.4.5.1)</w:t>
      </w:r>
      <w:r>
        <w:t xml:space="preserve"> </w:t>
      </w:r>
      <w:r>
        <w:t xml:space="preserve">- Bảng định nghĩa biến, Nghiên cứu P4 Singapore (Chương 3, §3.4.5.2)</w:t>
      </w:r>
      <w:r>
        <w:t xml:space="preserve"> </w:t>
      </w:r>
      <w:r>
        <w:t xml:space="preserve">- Bảng định nghĩa biến, Nghiên cứu P5 Trung Quốc (Chương 3, §3.4.5.3)</w:t>
      </w:r>
      <w:r>
        <w:t xml:space="preserve"> </w:t>
      </w:r>
      <w:r>
        <w:t xml:space="preserve">- Bảng định nghĩa biến, Nghiên cứu P7 đa quốc gia (Chương 3, §3.4.5.4)</w:t>
      </w:r>
      <w:r>
        <w:t xml:space="preserve"> </w:t>
      </w:r>
      <w:r>
        <w:t xml:space="preserve">- Bảng định nghĩa biến,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§4.10)</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30"/>
    <w:bookmarkStart w:id="31" w:name="chương-1-giới-thiệu"/>
    <w:p>
      <w:pPr>
        <w:pStyle w:val="Heading1"/>
      </w:pPr>
      <w:r>
        <w:t xml:space="preserve">CHƯƠNG 1: GIỚI THIỆU</w:t>
      </w:r>
    </w:p>
    <w:bookmarkEnd w:id="31"/>
    <w:p>
      <w:r>
        <w:pict>
          <v:rect style="width:0;height:1.5pt" o:hralign="center" o:hrstd="t" o:hr="t"/>
        </w:pict>
      </w:r>
    </w:p>
    <w:bookmarkStart w:id="3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2"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2"/>
    <w:bookmarkEnd w:id="33"/>
    <w:bookmarkStart w:id="3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34"/>
    <w:bookmarkStart w:id="3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heterogeneity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5"/>
    <w:bookmarkStart w:id="3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6"/>
    <w:bookmarkStart w:id="40" w:name="đối-tượng-và-phạm-vi-nghiên-cứu"/>
    <w:p>
      <w:pPr>
        <w:pStyle w:val="Heading2"/>
      </w:pPr>
      <w:r>
        <w:t xml:space="preserve">1.5 Đối tượng và phạm vi nghiên cứu</w:t>
      </w:r>
    </w:p>
    <w:bookmarkStart w:id="3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7"/>
    <w:bookmarkStart w:id="3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8"/>
    <w:bookmarkStart w:id="39"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9"/>
    <w:bookmarkEnd w:id="40"/>
    <w:bookmarkStart w:id="41"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41"/>
    <w:bookmarkStart w:id="42"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2"/>
    <w:bookmarkStart w:id="46" w:name="ý-nghĩa-khoa-học-và-thực-tiễn"/>
    <w:p>
      <w:pPr>
        <w:pStyle w:val="Heading2"/>
      </w:pPr>
      <w:r>
        <w:t xml:space="preserve">1.8 Ý nghĩa khoa học và thực tiễn</w:t>
      </w:r>
    </w:p>
    <w:bookmarkStart w:id="43"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3"/>
    <w:bookmarkStart w:id="44"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4"/>
    <w:bookmarkStart w:id="45"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bookmarkEnd w:id="45"/>
    <w:bookmarkEnd w:id="46"/>
    <w:bookmarkStart w:id="47"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7"/>
    <w:bookmarkStart w:id="48"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br w:type="page"/>
      </w:r>
    </w:p>
    <w:bookmarkEnd w:id="48"/>
    <w:bookmarkStart w:id="8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3" w:name="các-khái-niệm-cốt-lõi"/>
    <w:p>
      <w:pPr>
        <w:pStyle w:val="Heading2"/>
      </w:pPr>
      <w:r>
        <w:t xml:space="preserve">2.1 Các khái niệm cốt lõi</w:t>
      </w:r>
    </w:p>
    <w:bookmarkStart w:id="4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9"/>
    <w:bookmarkStart w:id="50"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50"/>
    <w:bookmarkStart w:id="51"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1"/>
    <w:bookmarkStart w:id="52"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2"/>
    <w:bookmarkEnd w:id="53"/>
    <w:bookmarkStart w:id="59" w:name="các-lý-thuyết-nền"/>
    <w:p>
      <w:pPr>
        <w:pStyle w:val="Heading2"/>
      </w:pPr>
      <w:r>
        <w:t xml:space="preserve">2.2 Các lý thuyết nền</w:t>
      </w:r>
    </w:p>
    <w:bookmarkStart w:id="54"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4"/>
    <w:bookmarkStart w:id="55"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5"/>
    <w:bookmarkStart w:id="56"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7"/>
    <w:bookmarkStart w:id="58"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8"/>
    <w:bookmarkEnd w:id="59"/>
    <w:bookmarkStart w:id="65" w:name="tổng-quan-thực-nghiệm"/>
    <w:p>
      <w:pPr>
        <w:pStyle w:val="Heading2"/>
      </w:pPr>
      <w:r>
        <w:t xml:space="preserve">2.3 Tổng quan thực nghiệm</w:t>
      </w:r>
    </w:p>
    <w:bookmarkStart w:id="60"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60"/>
    <w:bookmarkStart w:id="61"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effect sizes tập trung vào các emerging market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61"/>
    <w:bookmarkStart w:id="62"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2"/>
    <w:bookmarkStart w:id="63"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63"/>
    <w:bookmarkStart w:id="64"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4"/>
    <w:bookmarkEnd w:id="65"/>
    <w:bookmarkStart w:id="6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fixed effects.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6"/>
    <w:bookmarkStart w:id="79" w:name="mô-hình-nghiên-cứu-và-hệ-giả-thuyết"/>
    <w:p>
      <w:pPr>
        <w:pStyle w:val="Heading2"/>
      </w:pPr>
      <w:r>
        <w:t xml:space="preserve">2.5 Mô hình nghiên cứu và hệ giả thuyết</w:t>
      </w:r>
    </w:p>
    <w:bookmarkStart w:id="70"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8" name="Picture"/>
            <a:graphic>
              <a:graphicData uri="http://schemas.openxmlformats.org/drawingml/2006/picture">
                <pic:pic>
                  <pic:nvPicPr>
                    <pic:cNvPr descr="figures/fig_2_1_cdcm_conceptual_model.png" id="69" name="Picture"/>
                    <pic:cNvPicPr>
                      <a:picLocks noChangeArrowheads="1" noChangeAspect="1"/>
                    </pic:cNvPicPr>
                  </pic:nvPicPr>
                  <pic:blipFill>
                    <a:blip r:embed="rId67"/>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70"/>
    <w:bookmarkStart w:id="71"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71"/>
    <w:bookmarkStart w:id="72"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2"/>
    <w:bookmarkStart w:id="73"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73"/>
    <w:bookmarkStart w:id="74"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4"/>
    <w:bookmarkStart w:id="75"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5"/>
    <w:bookmarkStart w:id="76"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6"/>
    <w:bookmarkStart w:id="77"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7"/>
    <w:bookmarkStart w:id="78"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8"/>
    <w:bookmarkEnd w:id="79"/>
    <w:bookmarkStart w:id="80"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80"/>
    <w:bookmarkEnd w:id="81"/>
    <w:bookmarkStart w:id="82" w:name="chương-3-phương-pháp-nghiên-cứu"/>
    <w:p>
      <w:pPr>
        <w:pStyle w:val="Heading1"/>
      </w:pPr>
      <w:r>
        <w:t xml:space="preserve">CHƯƠNG 3: PHƯƠNG PHÁP NGHIÊN CỨU</w:t>
      </w:r>
    </w:p>
    <w:bookmarkEnd w:id="82"/>
    <w:p>
      <w:r>
        <w:pict>
          <v:rect style="width:0;height:1.5pt" o:hralign="center" o:hrstd="t" o:hr="t"/>
        </w:pict>
      </w:r>
    </w:p>
    <w:bookmarkStart w:id="85" w:name="thiết-kế-nghiên-cứu-tổng-thể"/>
    <w:p>
      <w:pPr>
        <w:pStyle w:val="Heading2"/>
      </w:pPr>
      <w:r>
        <w:t xml:space="preserve">3.1 Thiết kế nghiên cứu tổng thể</w:t>
      </w:r>
    </w:p>
    <w:bookmarkStart w:id="83"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83"/>
    <w:bookmarkStart w:id="84"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4"/>
    <w:bookmarkEnd w:id="85"/>
    <w:bookmarkStart w:id="89" w:name="phase-1-meta-analysis-19822026"/>
    <w:p>
      <w:pPr>
        <w:pStyle w:val="Heading2"/>
      </w:pPr>
      <w:r>
        <w:t xml:space="preserve">3.2 Phase 1: Meta-analysis 1982–2026</w:t>
      </w:r>
    </w:p>
    <w:bookmarkStart w:id="86"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6"/>
    <w:bookmarkStart w:id="87"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7"/>
    <w:bookmarkStart w:id="88"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8"/>
    <w:bookmarkEnd w:id="89"/>
    <w:bookmarkStart w:id="98" w:name="X8de0b19c054d402e314fef9726425749df3fc18"/>
    <w:p>
      <w:pPr>
        <w:pStyle w:val="Heading2"/>
      </w:pPr>
      <w:r>
        <w:t xml:space="preserve">3.3 Phase 2: Phân tích thực nghiệm đa quốc gia</w:t>
      </w:r>
    </w:p>
    <w:bookmarkStart w:id="90"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90"/>
    <w:bookmarkStart w:id="91"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91"/>
    <w:bookmarkStart w:id="9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92"/>
    <w:bookmarkStart w:id="96" w:name="đo-lường-biến-điều-tiết"/>
    <w:p>
      <w:pPr>
        <w:pStyle w:val="Heading3"/>
      </w:pPr>
      <w:r>
        <w:t xml:space="preserve">3.3.4 Đo lường biến điều tiết</w:t>
      </w:r>
    </w:p>
    <w:bookmarkStart w:id="93"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93"/>
    <w:bookmarkStart w:id="9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94"/>
    <w:bookmarkStart w:id="9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95"/>
    <w:bookmarkEnd w:id="96"/>
    <w:bookmarkStart w:id="97"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7"/>
    <w:bookmarkEnd w:id="98"/>
    <w:bookmarkStart w:id="113" w:name="mô-hình-phân-tích"/>
    <w:p>
      <w:pPr>
        <w:pStyle w:val="Heading2"/>
      </w:pPr>
      <w:r>
        <w:t xml:space="preserve">3.4 Mô hình phân tích</w:t>
      </w:r>
    </w:p>
    <w:bookmarkStart w:id="99"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99"/>
    <w:bookmarkStart w:id="100"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0"/>
    <w:bookmarkStart w:id="10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101"/>
    <w:bookmarkStart w:id="104" w:name="mô-hình-moderation-h2h6"/>
    <w:p>
      <w:pPr>
        <w:pStyle w:val="Heading3"/>
      </w:pPr>
      <w:r>
        <w:t xml:space="preserve">3.4.4 Mô hình moderation (H2–H6)</w:t>
      </w:r>
    </w:p>
    <w:bookmarkStart w:id="102"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02"/>
    <w:bookmarkStart w:id="103"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50 nước chưa được kiểm định trước đây.</w:t>
      </w:r>
    </w:p>
    <w:bookmarkEnd w:id="103"/>
    <w:bookmarkEnd w:id="104"/>
    <w:bookmarkStart w:id="105"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105"/>
    <w:bookmarkStart w:id="106"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6"/>
        </w:numPr>
        <w:pStyle w:val="Compact"/>
      </w:pPr>
      <w:r>
        <w:rPr>
          <w:bCs/>
          <w:b/>
        </w:rPr>
        <w:t xml:space="preserve">lnNSLD_it</w:t>
      </w:r>
      <w:r>
        <w:t xml:space="preserve"> </w:t>
      </w:r>
      <w:r>
        <w:t xml:space="preserve">= lnLP_it: log năng suất lao động (ln doanh thu PPP / lao động thường xuyên)</w:t>
      </w:r>
    </w:p>
    <w:p>
      <w:pPr>
        <w:numPr>
          <w:ilvl w:val="0"/>
          <w:numId w:val="1006"/>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6"/>
        </w:numPr>
        <w:pStyle w:val="Compact"/>
      </w:pPr>
      <w:r>
        <w:rPr>
          <w:bCs/>
          <w:b/>
        </w:rPr>
        <w:t xml:space="preserve">CDDXK_c²_it</w:t>
      </w:r>
      <w:r>
        <w:t xml:space="preserve"> </w:t>
      </w:r>
      <w:r>
        <w:t xml:space="preserve">= FSTS_c²_it: bình phương cường độ xuất khẩu điều chỉnh</w:t>
      </w:r>
    </w:p>
    <w:p>
      <w:pPr>
        <w:numPr>
          <w:ilvl w:val="0"/>
          <w:numId w:val="1006"/>
        </w:numPr>
        <w:pStyle w:val="Compact"/>
      </w:pPr>
      <w:r>
        <w:rPr>
          <w:bCs/>
          <w:b/>
        </w:rPr>
        <w:t xml:space="preserve">NLCN_z_it</w:t>
      </w:r>
      <w:r>
        <w:t xml:space="preserve"> </w:t>
      </w:r>
      <w:r>
        <w:t xml:space="preserve">= TCI_z_it: năng lực công nghệ (chuẩn hoá z trong sóng)</w:t>
      </w:r>
    </w:p>
    <w:p>
      <w:pPr>
        <w:numPr>
          <w:ilvl w:val="0"/>
          <w:numId w:val="1006"/>
        </w:numPr>
        <w:pStyle w:val="Compact"/>
      </w:pPr>
      <w:r>
        <w:rPr>
          <w:bCs/>
          <w:b/>
        </w:rPr>
        <w:t xml:space="preserve">CSS_z_it</w:t>
      </w:r>
      <w:r>
        <w:t xml:space="preserve"> </w:t>
      </w:r>
      <w:r>
        <w:t xml:space="preserve">= DAI_z_it: chỉ số số hoá cơ sở, Tier-1 (chuẩn hoá z trong sóng)</w:t>
      </w:r>
    </w:p>
    <w:p>
      <w:pPr>
        <w:numPr>
          <w:ilvl w:val="0"/>
          <w:numId w:val="1006"/>
        </w:numPr>
        <w:pStyle w:val="Compact"/>
      </w:pPr>
      <w:r>
        <w:rPr>
          <w:bCs/>
          <w:b/>
        </w:rPr>
        <w:t xml:space="preserve">lnLD, TuoiDN, SoHuuNuocNgoai</w:t>
      </w:r>
      <w:r>
        <w:t xml:space="preserve">: kiểm soát quy mô, tuổi, sở hữu</w:t>
      </w:r>
    </w:p>
    <w:p>
      <w:pPr>
        <w:numPr>
          <w:ilvl w:val="0"/>
          <w:numId w:val="1006"/>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6"/>
    <w:bookmarkStart w:id="107"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7"/>
        </w:numPr>
        <w:pStyle w:val="Compact"/>
      </w:pPr>
      <w:r>
        <w:rPr>
          <w:bCs/>
          <w:b/>
        </w:rPr>
        <w:t xml:space="preserve">lnNSLD_i</w:t>
      </w:r>
      <w:r>
        <w:t xml:space="preserve"> </w:t>
      </w:r>
      <w:r>
        <w:t xml:space="preserve">= lnLP_i: log năng suất lao động (ln doanh thu PPP / lao động thường xuyên)</w:t>
      </w:r>
    </w:p>
    <w:p>
      <w:pPr>
        <w:numPr>
          <w:ilvl w:val="0"/>
          <w:numId w:val="1007"/>
        </w:numPr>
        <w:pStyle w:val="Compact"/>
      </w:pPr>
      <w:r>
        <w:rPr>
          <w:bCs/>
          <w:b/>
        </w:rPr>
        <w:t xml:space="preserve">CDDXK_i</w:t>
      </w:r>
      <w:r>
        <w:t xml:space="preserve"> </w:t>
      </w:r>
      <w:r>
        <w:t xml:space="preserve">= FSTS_i: cường độ xuất khẩu trực tiếp (d3c / 100)</w:t>
      </w:r>
    </w:p>
    <w:p>
      <w:pPr>
        <w:numPr>
          <w:ilvl w:val="0"/>
          <w:numId w:val="1007"/>
        </w:numPr>
        <w:pStyle w:val="Compact"/>
      </w:pPr>
      <w:r>
        <w:rPr>
          <w:bCs/>
          <w:b/>
        </w:rPr>
        <w:t xml:space="preserve">CDDXK_c_i</w:t>
      </w:r>
      <w:r>
        <w:t xml:space="preserve"> </w:t>
      </w:r>
      <w:r>
        <w:t xml:space="preserve">= FSTS_c_i: CDDXK trung bình mẫu; CDDXK_c² là bình phương</w:t>
      </w:r>
    </w:p>
    <w:p>
      <w:pPr>
        <w:numPr>
          <w:ilvl w:val="0"/>
          <w:numId w:val="1007"/>
        </w:numPr>
        <w:pStyle w:val="Compact"/>
      </w:pPr>
      <w:r>
        <w:rPr>
          <w:bCs/>
          <w:b/>
        </w:rPr>
        <w:t xml:space="preserve">NLCN_z_i</w:t>
      </w:r>
      <w:r>
        <w:t xml:space="preserve"> </w:t>
      </w:r>
      <w:r>
        <w:t xml:space="preserve">= TCI_z_i: năng lực công nghệ, z-std của trung bình(b8₀₁, e6₀₁)</w:t>
      </w:r>
    </w:p>
    <w:p>
      <w:pPr>
        <w:numPr>
          <w:ilvl w:val="0"/>
          <w:numId w:val="1007"/>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7"/>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7"/>
        </w:numPr>
        <w:pStyle w:val="Compact"/>
      </w:pPr>
      <w:r>
        <w:rPr>
          <w:bCs/>
          <w:b/>
        </w:rPr>
        <w:t xml:space="preserve">δ_s</w:t>
      </w:r>
      <w:r>
        <w:t xml:space="preserve">: sector fixed effects (ISIC 1-chữ số)</w:t>
      </w:r>
    </w:p>
    <w:p>
      <w:pPr>
        <w:numPr>
          <w:ilvl w:val="0"/>
          <w:numId w:val="1007"/>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7"/>
    <w:bookmarkStart w:id="108"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8"/>
        </w:numPr>
        <w:pStyle w:val="Compact"/>
      </w:pPr>
      <w:r>
        <w:rPr>
          <w:bCs/>
          <w:b/>
        </w:rPr>
        <w:t xml:space="preserve">lnNSLD_it</w:t>
      </w:r>
      <w:r>
        <w:t xml:space="preserve"> </w:t>
      </w:r>
      <w:r>
        <w:t xml:space="preserve">= lnLP_it: log năng suất lao động (biến phụ thuộc)</w:t>
      </w:r>
    </w:p>
    <w:p>
      <w:pPr>
        <w:numPr>
          <w:ilvl w:val="0"/>
          <w:numId w:val="1008"/>
        </w:numPr>
        <w:pStyle w:val="Compact"/>
      </w:pPr>
      <w:r>
        <w:rPr>
          <w:bCs/>
          <w:b/>
        </w:rPr>
        <w:t xml:space="preserve">CDDXK_c_it</w:t>
      </w:r>
      <w:r>
        <w:t xml:space="preserve"> </w:t>
      </w:r>
      <w:r>
        <w:t xml:space="preserve">= FSTS_c_it: cường độ xuất khẩu centred theo trung bình sóng</w:t>
      </w:r>
    </w:p>
    <w:p>
      <w:pPr>
        <w:numPr>
          <w:ilvl w:val="0"/>
          <w:numId w:val="1008"/>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8"/>
        </w:numPr>
        <w:pStyle w:val="Compact"/>
      </w:pPr>
      <w:r>
        <w:rPr>
          <w:bCs/>
          <w:b/>
        </w:rPr>
        <w:t xml:space="preserve">CSS_z_it</w:t>
      </w:r>
      <w:r>
        <w:t xml:space="preserve"> </w:t>
      </w:r>
      <w:r>
        <w:t xml:space="preserve">= DAI_core_it: chỉ số số hoá cơ bản, chỉ c22b₀₁ (Tier-1 mỏng, single-item binary)</w:t>
      </w:r>
    </w:p>
    <w:p>
      <w:pPr>
        <w:numPr>
          <w:ilvl w:val="0"/>
          <w:numId w:val="1008"/>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8"/>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08"/>
    <w:bookmarkStart w:id="111"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9"/>
        </w:numPr>
        <w:pStyle w:val="Compact"/>
      </w:pPr>
      <w:r>
        <w:rPr>
          <w:bCs/>
          <w:b/>
        </w:rPr>
        <w:t xml:space="preserve">lnNSLD_it</w:t>
      </w:r>
      <w:r>
        <w:t xml:space="preserve">: ln(năng suất lao động) = ln(doanh thu / lao động thường trực), biến phụ thuộc</w:t>
      </w:r>
    </w:p>
    <w:p>
      <w:pPr>
        <w:numPr>
          <w:ilvl w:val="0"/>
          <w:numId w:val="1009"/>
        </w:numPr>
        <w:pStyle w:val="Compact"/>
      </w:pPr>
      <w:r>
        <w:rPr>
          <w:bCs/>
          <w:b/>
        </w:rPr>
        <w:t xml:space="preserve">CDDXK_c_it</w:t>
      </w:r>
      <w:r>
        <w:t xml:space="preserve">: cường độ xuất khẩu mean-centred, FSTS_c = (d3c/100) − mean_pool(FSTS)</w:t>
      </w:r>
    </w:p>
    <w:p>
      <w:pPr>
        <w:numPr>
          <w:ilvl w:val="0"/>
          <w:numId w:val="1009"/>
        </w:numPr>
        <w:pStyle w:val="Compact"/>
      </w:pPr>
      <w:r>
        <w:rPr>
          <w:bCs/>
          <w:b/>
        </w:rPr>
        <w:t xml:space="preserve">CDDXK_c²_it</w:t>
      </w:r>
      <w:r>
        <w:t xml:space="preserve">: CDDXK_c bình phương, kiểm định phi tuyến</w:t>
      </w:r>
    </w:p>
    <w:p>
      <w:pPr>
        <w:numPr>
          <w:ilvl w:val="0"/>
          <w:numId w:val="1009"/>
        </w:numPr>
        <w:pStyle w:val="Compact"/>
      </w:pPr>
      <w:r>
        <w:rPr>
          <w:bCs/>
          <w:b/>
        </w:rPr>
        <w:t xml:space="preserve">NLCN_z_it</w:t>
      </w:r>
      <w:r>
        <w:t xml:space="preserve">: năng lực công nghệ z-standardised, TCI_z = z-std(b8, e6)</w:t>
      </w:r>
    </w:p>
    <w:p>
      <w:pPr>
        <w:numPr>
          <w:ilvl w:val="0"/>
          <w:numId w:val="1009"/>
        </w:numPr>
        <w:pStyle w:val="Compact"/>
      </w:pPr>
      <w:r>
        <w:rPr>
          <w:bCs/>
          <w:b/>
        </w:rPr>
        <w:t xml:space="preserve">CSS_z_it</w:t>
      </w:r>
      <w:r>
        <w:t xml:space="preserve">: chỉ số số hoá z-standardised, DAI_z = z-std(website + e-pay, Tier 1+2: c22b/e1, k33)</w:t>
      </w:r>
    </w:p>
    <w:p>
      <w:pPr>
        <w:numPr>
          <w:ilvl w:val="0"/>
          <w:numId w:val="1009"/>
        </w:numPr>
        <w:pStyle w:val="Compact"/>
      </w:pPr>
      <w:r>
        <w:rPr>
          <w:bCs/>
          <w:b/>
        </w:rPr>
        <w:t xml:space="preserve">KNQLy_it</w:t>
      </w:r>
      <w:r>
        <w:t xml:space="preserve">: kinh nghiệm nhà quản lý trong ngành (năm, b7)</w:t>
      </w:r>
    </w:p>
    <w:p>
      <w:pPr>
        <w:numPr>
          <w:ilvl w:val="0"/>
          <w:numId w:val="1009"/>
        </w:numPr>
        <w:pStyle w:val="Compact"/>
      </w:pPr>
      <w:r>
        <w:rPr>
          <w:bCs/>
          <w:b/>
        </w:rPr>
        <w:t xml:space="preserve">NQL_nu_it</w:t>
      </w:r>
      <w:r>
        <w:t xml:space="preserve">: top manager là nữ (binary, b7a/b6a)</w:t>
      </w:r>
    </w:p>
    <w:p>
      <w:pPr>
        <w:numPr>
          <w:ilvl w:val="0"/>
          <w:numId w:val="1009"/>
        </w:numPr>
        <w:pStyle w:val="Compact"/>
      </w:pPr>
      <w:r>
        <w:rPr>
          <w:bCs/>
          <w:b/>
        </w:rPr>
        <w:t xml:space="preserve">ICRV_j</w:t>
      </w:r>
      <w:r>
        <w:t xml:space="preserve">: phân loại chế độ thể chế ICRV (integer 1–6, Advanced sang SIDS)</w:t>
      </w:r>
    </w:p>
    <w:p>
      <w:pPr>
        <w:numPr>
          <w:ilvl w:val="0"/>
          <w:numId w:val="1009"/>
        </w:numPr>
        <w:pStyle w:val="Compact"/>
      </w:pPr>
      <w:r>
        <w:rPr>
          <w:bCs/>
          <w:b/>
        </w:rPr>
        <w:t xml:space="preserve">lnLD_it</w:t>
      </w:r>
      <w:r>
        <w:t xml:space="preserve">: ln(lao động thường trực), kiểm soát quy mô doanh nghiệp</w:t>
      </w:r>
    </w:p>
    <w:p>
      <w:pPr>
        <w:numPr>
          <w:ilvl w:val="0"/>
          <w:numId w:val="1009"/>
        </w:numPr>
        <w:pStyle w:val="Compact"/>
      </w:pPr>
      <w:r>
        <w:rPr>
          <w:bCs/>
          <w:b/>
        </w:rPr>
        <w:t xml:space="preserve">TuoiDN_it</w:t>
      </w:r>
      <w:r>
        <w:t xml:space="preserve">: tuổi doanh nghiệp (năm_khảo_sát − b5)</w:t>
      </w:r>
    </w:p>
    <w:p>
      <w:pPr>
        <w:numPr>
          <w:ilvl w:val="0"/>
          <w:numId w:val="1009"/>
        </w:numPr>
        <w:pStyle w:val="Compact"/>
      </w:pPr>
      <w:r>
        <w:rPr>
          <w:bCs/>
          <w:b/>
        </w:rPr>
        <w:t xml:space="preserve">SoHuuNN_it</w:t>
      </w:r>
      <w:r>
        <w:t xml:space="preserve">: tỷ lệ sở hữu nước ngoài (b6a/100)</w:t>
      </w:r>
    </w:p>
    <w:p>
      <w:pPr>
        <w:numPr>
          <w:ilvl w:val="0"/>
          <w:numId w:val="1009"/>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9"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09"/>
    <w:bookmarkStart w:id="110"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10"/>
    <w:bookmarkEnd w:id="111"/>
    <w:bookmarkStart w:id="112"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2"/>
    <w:bookmarkEnd w:id="113"/>
    <w:bookmarkStart w:id="120" w:name="kiểm-định-độ-vững"/>
    <w:p>
      <w:pPr>
        <w:pStyle w:val="Heading2"/>
      </w:pPr>
      <w:r>
        <w:t xml:space="preserve">3.5 Kiểm định độ vững</w:t>
      </w:r>
    </w:p>
    <w:bookmarkStart w:id="114" w:name="thay-đổi-thước-đo"/>
    <w:p>
      <w:pPr>
        <w:pStyle w:val="Heading3"/>
      </w:pPr>
      <w:r>
        <w:t xml:space="preserve">3.5.1 Thay đổi thước đo</w:t>
      </w:r>
    </w:p>
    <w:p>
      <w:pPr>
        <w:numPr>
          <w:ilvl w:val="0"/>
          <w:numId w:val="1010"/>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0"/>
        </w:numPr>
        <w:pStyle w:val="Compact"/>
      </w:pPr>
      <w:r>
        <w:t xml:space="preserve">Biến độc lập: thay FSTS bằng export status (binary), foreign sales count.</w:t>
      </w:r>
    </w:p>
    <w:p>
      <w:pPr>
        <w:numPr>
          <w:ilvl w:val="0"/>
          <w:numId w:val="1010"/>
        </w:numPr>
        <w:pStyle w:val="Compact"/>
      </w:pPr>
      <w:r>
        <w:t xml:space="preserve">Biến biến điều tiết: thay DAI_thin bằng DAI_rich (cho subset 2024+).</w:t>
      </w:r>
    </w:p>
    <w:bookmarkEnd w:id="114"/>
    <w:bookmarkStart w:id="115"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5"/>
    <w:bookmarkStart w:id="116"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6"/>
    <w:bookmarkStart w:id="117" w:name="multicollinearity-và-heteroscedasticity"/>
    <w:p>
      <w:pPr>
        <w:pStyle w:val="Heading3"/>
      </w:pPr>
      <w:r>
        <w:t xml:space="preserve">3.5.4 Multicollinearity và heteroscedasticity</w:t>
      </w:r>
    </w:p>
    <w:p>
      <w:pPr>
        <w:numPr>
          <w:ilvl w:val="0"/>
          <w:numId w:val="1011"/>
        </w:numPr>
        <w:pStyle w:val="Compact"/>
      </w:pPr>
      <w:r>
        <w:t xml:space="preserve">VIF cho tất cả mô hình; ngưỡng VIF &lt; 5 (Hair et al., 2019).</w:t>
      </w:r>
    </w:p>
    <w:p>
      <w:pPr>
        <w:numPr>
          <w:ilvl w:val="0"/>
          <w:numId w:val="1011"/>
        </w:numPr>
        <w:pStyle w:val="Compact"/>
      </w:pPr>
      <w:r>
        <w:t xml:space="preserve">Breusch–Pagan test (Breusch &amp; Pagan, 1979).</w:t>
      </w:r>
    </w:p>
    <w:bookmarkEnd w:id="117"/>
    <w:bookmarkStart w:id="118" w:name="sensitivity-analysis-cho-meta-analysis"/>
    <w:p>
      <w:pPr>
        <w:pStyle w:val="Heading3"/>
      </w:pPr>
      <w:r>
        <w:t xml:space="preserve">3.5.5 Sensitivity analysis cho meta-analysis</w:t>
      </w:r>
    </w:p>
    <w:p>
      <w:pPr>
        <w:numPr>
          <w:ilvl w:val="0"/>
          <w:numId w:val="1012"/>
        </w:numPr>
        <w:pStyle w:val="Compact"/>
      </w:pPr>
      <w:r>
        <w:t xml:space="preserve">Leave-one-out: loại từng nghiên cứu và tái tính pooled effect.</w:t>
      </w:r>
    </w:p>
    <w:p>
      <w:pPr>
        <w:numPr>
          <w:ilvl w:val="0"/>
          <w:numId w:val="1012"/>
        </w:numPr>
        <w:pStyle w:val="Compact"/>
      </w:pPr>
      <w:r>
        <w:t xml:space="preserve">Trim-and-fill (Duval &amp; Tweedie, 2000) cho publication bias.</w:t>
      </w:r>
    </w:p>
    <w:bookmarkEnd w:id="118"/>
    <w:bookmarkStart w:id="119"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§4.2.3, §4.6.2). Cách tiếp cận đa lớp này phản ánh thực hành tốt nhất trong kinh tế lượng ứng dụng khi làm việc với dữ liệu quan sát quy mô lớn (Angrist &amp; Pischke, 2009).</w:t>
      </w:r>
    </w:p>
    <w:bookmarkEnd w:id="119"/>
    <w:bookmarkEnd w:id="120"/>
    <w:bookmarkStart w:id="12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21"/>
    <w:bookmarkStart w:id="122"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22"/>
    <w:bookmarkStart w:id="123" w:name="chương-4-kết-quả-nghiên-cứu"/>
    <w:p>
      <w:pPr>
        <w:pStyle w:val="Heading1"/>
      </w:pPr>
      <w:r>
        <w:t xml:space="preserve">CHƯƠNG 4: KẾT QUẢ NGHIÊN CỨU</w:t>
      </w:r>
    </w:p>
    <w:bookmarkEnd w:id="123"/>
    <w:p>
      <w:r>
        <w:pict>
          <v:rect style="width:0;height:1.5pt" o:hralign="center" o:hrstd="t" o:hr="t"/>
        </w:pict>
      </w:r>
    </w:p>
    <w:bookmarkStart w:id="124"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4"/>
    <w:bookmarkStart w:id="130" w:name="Xed285cd0261846a13dee28de69c0403b250498d"/>
    <w:p>
      <w:pPr>
        <w:pStyle w:val="Heading2"/>
      </w:pPr>
      <w:r>
        <w:t xml:space="preserve">4.1 Thực trạng quốc tế hóa và hiệu quả hoạt động kinh doanh tại châu Á</w:t>
      </w:r>
    </w:p>
    <w:bookmarkStart w:id="125"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125"/>
    <w:bookmarkStart w:id="12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6"/>
    <w:bookmarkStart w:id="127"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27"/>
    <w:bookmarkStart w:id="128"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28"/>
    <w:bookmarkStart w:id="129"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§4.6.2).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(xem thêm §4.6.2).</w:t>
      </w:r>
    </w:p>
    <w:p>
      <w:r>
        <w:pict>
          <v:rect style="width:0;height:1.5pt" o:hralign="center" o:hrstd="t" o:hr="t"/>
        </w:pict>
      </w:r>
    </w:p>
    <w:bookmarkEnd w:id="129"/>
    <w:bookmarkEnd w:id="130"/>
    <w:bookmarkStart w:id="135" w:name="Xe0084a7c2f7e752cafc4091ca0758f37f91bfa0"/>
    <w:p>
      <w:pPr>
        <w:pStyle w:val="Heading2"/>
      </w:pPr>
      <w:r>
        <w:t xml:space="preserve">4.2 Kết quả tổng hợp định lượng: Meta-analysis ba tầng (P6)</w:t>
      </w:r>
    </w:p>
    <w:bookmarkStart w:id="131"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31"/>
    <w:bookmarkStart w:id="13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32"/>
    <w:bookmarkStart w:id="133"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133"/>
    <w:bookmarkStart w:id="134"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134"/>
    <w:bookmarkEnd w:id="135"/>
    <w:bookmarkStart w:id="139" w:name="Xae571c1410747d630a72c4d12985bac375822ae"/>
    <w:p>
      <w:pPr>
        <w:pStyle w:val="Heading2"/>
      </w:pPr>
      <w:r>
        <w:t xml:space="preserve">4.3 Kết quả bối cảnh thể chế tiên tiến: Đổi mới: Singapore (P4)</w:t>
      </w:r>
    </w:p>
    <w:bookmarkStart w:id="136"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6"/>
    <w:bookmarkStart w:id="137"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7"/>
    <w:bookmarkStart w:id="138"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138"/>
    <w:bookmarkEnd w:id="139"/>
    <w:bookmarkStart w:id="143" w:name="Xabe361c2d5961cf19ce7ab2bd5d9bc6d758140a"/>
    <w:p>
      <w:pPr>
        <w:pStyle w:val="Heading2"/>
      </w:pPr>
      <w:r>
        <w:t xml:space="preserve">4.4 Kết quả bối cảnh thể chế trung bình cao: Trung Quốc, 2012–2024 (P5)</w:t>
      </w:r>
    </w:p>
    <w:bookmarkStart w:id="14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40"/>
    <w:bookmarkStart w:id="141"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41"/>
    <w:bookmarkStart w:id="142"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42"/>
    <w:bookmarkEnd w:id="143"/>
    <w:bookmarkStart w:id="148" w:name="Xdbd5cc67084304ba85b73781c0cb0c00b74055b"/>
    <w:p>
      <w:pPr>
        <w:pStyle w:val="Heading2"/>
      </w:pPr>
      <w:r>
        <w:t xml:space="preserve">4.5 Kết quả bối cảnh chuyển đổi bậc thấp–trung: Việt Nam (P3)</w:t>
      </w:r>
    </w:p>
    <w:bookmarkStart w:id="14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44"/>
    <w:bookmarkStart w:id="145"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45"/>
    <w:bookmarkStart w:id="146"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46"/>
    <w:bookmarkStart w:id="147"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47"/>
    <w:bookmarkEnd w:id="148"/>
    <w:bookmarkStart w:id="155" w:name="X561afa853383c674354c1acb167a55cae3a018f"/>
    <w:p>
      <w:pPr>
        <w:pStyle w:val="Heading2"/>
      </w:pPr>
      <w:r>
        <w:t xml:space="preserve">4.6 Kết quả kiểm định toàn mẫu đa bối cảnh châu Á (P7)</w:t>
      </w:r>
    </w:p>
    <w:bookmarkStart w:id="149"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149"/>
    <w:bookmarkStart w:id="153"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849196"/>
            <wp:effectExtent b="0" l="0" r="0" t="0"/>
            <wp:docPr descr="Hình 4.1. Họ đường cong I–P phụ thuộc chế độ thể chế ICRV" title="" id="151" name="Picture"/>
            <a:graphic>
              <a:graphicData uri="http://schemas.openxmlformats.org/drawingml/2006/picture">
                <pic:pic>
                  <pic:nvPicPr>
                    <pic:cNvPr descr="figures/fig_4_x_ip_curves_icrv_gradient.png" id="152" name="Picture"/>
                    <pic:cNvPicPr>
                      <a:picLocks noChangeArrowheads="1" noChangeAspect="1"/>
                    </pic:cNvPicPr>
                  </pic:nvPicPr>
                  <pic:blipFill>
                    <a:blip r:embed="rId150"/>
                    <a:stretch>
                      <a:fillRect/>
                    </a:stretch>
                  </pic:blipFill>
                  <pic:spPr bwMode="auto">
                    <a:xfrm>
                      <a:off x="0" y="0"/>
                      <a:ext cx="5753100" cy="3849196"/>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153"/>
    <w:bookmarkStart w:id="154"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5"/>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154"/>
    <w:bookmarkEnd w:id="155"/>
    <w:bookmarkStart w:id="160" w:name="X42f69945b56833cca239d45dc5864a7be6f74d7"/>
    <w:p>
      <w:pPr>
        <w:pStyle w:val="Heading2"/>
      </w:pPr>
      <w:r>
        <w:t xml:space="preserve">4.7 Kết quả trường hợp biên SIDS: Các nền kinh tế đảo nhỏ đang phát triển (P8)</w:t>
      </w:r>
    </w:p>
    <w:bookmarkStart w:id="156"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56"/>
    <w:bookmarkStart w:id="157"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157"/>
    <w:bookmarkStart w:id="158"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158"/>
    <w:bookmarkStart w:id="15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159"/>
    <w:bookmarkEnd w:id="160"/>
    <w:bookmarkStart w:id="161"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161"/>
    <w:bookmarkStart w:id="162"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(§4.3.2,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62"/>
    <w:bookmarkStart w:id="163" w:name="tổng-hợp-kết-quả-theo-hệ-giả-thuyết"/>
    <w:p>
      <w:pPr>
        <w:pStyle w:val="Heading2"/>
      </w:pPr>
      <w:r>
        <w:t xml:space="preserve">4.10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 sụp đổ ngưỡng</w:t>
            </w:r>
          </w:p>
        </w:tc>
        <w:tc>
          <w:tcPr/>
          <w:p>
            <w:pPr>
              <w:pStyle w:val="Compact"/>
              <w:jc w:val="left"/>
            </w:pPr>
            <w:r>
              <w:t xml:space="preserve">61,8%→40,7%→tan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63"/>
    <w:bookmarkStart w:id="16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64"/>
    <w:bookmarkStart w:id="165" w:name="chương-5-kết-luận-và-đề-xuất"/>
    <w:p>
      <w:pPr>
        <w:pStyle w:val="Heading1"/>
      </w:pPr>
      <w:r>
        <w:t xml:space="preserve">CHƯƠNG 5: KẾT LUẬN VÀ ĐỀ XUẤT</w:t>
      </w:r>
    </w:p>
    <w:bookmarkEnd w:id="165"/>
    <w:p>
      <w:r>
        <w:pict>
          <v:rect style="width:0;height:1.5pt" o:hralign="center" o:hrstd="t" o:hr="t"/>
        </w:pict>
      </w:r>
    </w:p>
    <w:bookmarkStart w:id="166"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66"/>
    <w:bookmarkStart w:id="173" w:name="Xff8cef3ed320f9cf6f3fba4ff558bfed3af19c6"/>
    <w:p>
      <w:pPr>
        <w:pStyle w:val="Heading2"/>
      </w:pPr>
      <w:r>
        <w:t xml:space="preserve">5.1 Bàn luận kết quả theo khung lý thuyết CDCM</w:t>
      </w:r>
    </w:p>
    <w:bookmarkStart w:id="167"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167"/>
    <w:bookmarkStart w:id="168"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68"/>
    <w:bookmarkStart w:id="169"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169"/>
    <w:bookmarkStart w:id="170"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70"/>
    <w:bookmarkStart w:id="171"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171"/>
    <w:bookmarkStart w:id="172"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72"/>
    <w:bookmarkEnd w:id="173"/>
    <w:bookmarkStart w:id="177" w:name="so-sánh-với-nghiên-cứu-trước-đây"/>
    <w:p>
      <w:pPr>
        <w:pStyle w:val="Heading2"/>
      </w:pPr>
      <w:r>
        <w:t xml:space="preserve">5.2 So sánh với nghiên cứu trước đây</w:t>
      </w:r>
    </w:p>
    <w:bookmarkStart w:id="174"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174"/>
    <w:bookmarkStart w:id="175"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175"/>
    <w:bookmarkStart w:id="176"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176"/>
    <w:bookmarkEnd w:id="177"/>
    <w:bookmarkStart w:id="181" w:name="đóng-góp-lý-thuyết-1"/>
    <w:p>
      <w:pPr>
        <w:pStyle w:val="Heading2"/>
      </w:pPr>
      <w:r>
        <w:t xml:space="preserve">5.3 Đóng góp lý thuyết</w:t>
      </w:r>
    </w:p>
    <w:bookmarkStart w:id="17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78"/>
    <w:bookmarkStart w:id="179"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179"/>
    <w:bookmarkStart w:id="180"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180"/>
    <w:bookmarkEnd w:id="181"/>
    <w:bookmarkStart w:id="186" w:name="đề-xuất-chính-sách-và-quản-trị"/>
    <w:p>
      <w:pPr>
        <w:pStyle w:val="Heading2"/>
      </w:pPr>
      <w:r>
        <w:t xml:space="preserve">5.4 Đề xuất chính sách và quản trị</w:t>
      </w:r>
    </w:p>
    <w:bookmarkStart w:id="182"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82"/>
    <w:bookmarkStart w:id="183"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83"/>
    <w:bookmarkStart w:id="184"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184"/>
    <w:bookmarkStart w:id="185"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185"/>
    <w:bookmarkEnd w:id="186"/>
    <w:bookmarkStart w:id="191" w:name="hạn-chế-và-hướng-nghiên-cứu-tương-lai"/>
    <w:p>
      <w:pPr>
        <w:pStyle w:val="Heading2"/>
      </w:pPr>
      <w:r>
        <w:t xml:space="preserve">5.5 Hạn chế và hướng nghiên cứu tương lai</w:t>
      </w:r>
    </w:p>
    <w:bookmarkStart w:id="18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87"/>
    <w:bookmarkStart w:id="188"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mẫu phụ xuất khẩu N = 84,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88"/>
    <w:bookmarkStart w:id="189"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89"/>
    <w:bookmarkStart w:id="190"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r>
        <w:pict>
          <v:rect style="width:0;height:1.5pt" o:hralign="center" o:hrstd="t" o:hr="t"/>
        </w:pict>
      </w:r>
    </w:p>
    <w:bookmarkEnd w:id="190"/>
    <w:bookmarkEnd w:id="191"/>
    <w:bookmarkStart w:id="196" w:name="kết-luận"/>
    <w:p>
      <w:pPr>
        <w:pStyle w:val="Heading2"/>
      </w:pPr>
      <w:r>
        <w:t xml:space="preserve">5.6 Kết luận</w:t>
      </w:r>
    </w:p>
    <w:bookmarkStart w:id="192"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7"/>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7"/>
        </w:numPr>
      </w:pPr>
      <w:r>
        <w:rPr>
          <w:bCs/>
          <w:b/>
        </w:rPr>
        <w:t xml:space="preserve">P3</w:t>
      </w:r>
      <w:r>
        <w:t xml:space="preserve">: phân tích Việt Nam (Lower-mid Transition), xác nhận chữ U ngược với TP = 39,3–46,2%, TCI là biến điều tiết dương có ý nghĩa.</w:t>
      </w:r>
    </w:p>
    <w:p>
      <w:pPr>
        <w:numPr>
          <w:ilvl w:val="0"/>
          <w:numId w:val="1017"/>
        </w:numPr>
      </w:pPr>
      <w:r>
        <w:rPr>
          <w:bCs/>
          <w:b/>
        </w:rPr>
        <w:t xml:space="preserve">P4</w:t>
      </w:r>
      <w:r>
        <w:t xml:space="preserve">: phân tích Singapore (Advanced Innovation), xác nhận chữ U ngược với TP ≈ 88,6% (rộng CI), DAI khuếch đại tại mức FSTS cao.</w:t>
      </w:r>
    </w:p>
    <w:p>
      <w:pPr>
        <w:numPr>
          <w:ilvl w:val="0"/>
          <w:numId w:val="1017"/>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17"/>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17"/>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192"/>
    <w:bookmarkStart w:id="19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193"/>
    <w:bookmarkStart w:id="19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situational resource chứ không phải foundational capability;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194"/>
    <w:bookmarkStart w:id="19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195"/>
    <w:bookmarkEnd w:id="196"/>
    <w:bookmarkStart w:id="233"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97"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97"/>
    <w:bookmarkStart w:id="198"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198"/>
    <w:bookmarkStart w:id="199"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99"/>
    <w:bookmarkStart w:id="200"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00"/>
    <w:bookmarkStart w:id="201"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01"/>
    <w:bookmarkStart w:id="202"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02"/>
    <w:bookmarkStart w:id="203"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03"/>
    <w:bookmarkStart w:id="204" w:name="h.-firm-performance-đa-chiều"/>
    <w:p>
      <w:pPr>
        <w:pStyle w:val="Heading2"/>
      </w:pPr>
      <w:r>
        <w:t xml:space="preserve">H. Firm performance đa chiều</w:t>
      </w:r>
    </w:p>
    <w:p>
      <w:pPr>
        <w:pStyle w:val="FirstParagraph"/>
      </w:pPr>
      <w:r>
        <w:t xml:space="preserve">(Giữ nguyên từ v2.1.)</w:t>
      </w:r>
    </w:p>
    <w:bookmarkEnd w:id="204"/>
    <w:bookmarkStart w:id="205"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05"/>
    <w:bookmarkStart w:id="20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06"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06"/>
    <w:bookmarkEnd w:id="207"/>
    <w:bookmarkStart w:id="20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08"/>
    <w:bookmarkStart w:id="209"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09"/>
    <w:bookmarkStart w:id="21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10"/>
    <w:bookmarkStart w:id="21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11"/>
    <w:bookmarkStart w:id="212"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212"/>
    <w:bookmarkStart w:id="21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13"/>
    <w:bookmarkStart w:id="21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14"/>
    <w:bookmarkStart w:id="21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15"/>
    <w:bookmarkStart w:id="21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16"/>
    <w:bookmarkStart w:id="21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217"/>
    <w:bookmarkStart w:id="221" w:name="hướng-dẫn-sử-dụng-cập-nhật-v2.5"/>
    <w:p>
      <w:pPr>
        <w:pStyle w:val="Heading2"/>
      </w:pPr>
      <w:r>
        <w:t xml:space="preserve">Hướng dẫn sử dụng (cập nhật v2.5)</w:t>
      </w:r>
    </w:p>
    <w:bookmarkStart w:id="218" w:name="trong-bản-thảo-luận-án"/>
    <w:p>
      <w:pPr>
        <w:pStyle w:val="Heading3"/>
      </w:pPr>
      <w:r>
        <w:t xml:space="preserve">Trong bản thảo luận án</w:t>
      </w:r>
    </w:p>
    <w:p>
      <w:pPr>
        <w:numPr>
          <w:ilvl w:val="0"/>
          <w:numId w:val="1018"/>
        </w:numPr>
        <w:pStyle w:val="Compact"/>
      </w:pPr>
      <w:r>
        <w:t xml:space="preserve">Dùng in-text citation theo author–date.</w:t>
      </w:r>
    </w:p>
    <w:p>
      <w:pPr>
        <w:numPr>
          <w:ilvl w:val="0"/>
          <w:numId w:val="1018"/>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8"/>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8"/>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8"/>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8"/>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8"/>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8"/>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8"/>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8"/>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8"/>
        </w:numPr>
        <w:pStyle w:val="Compact"/>
      </w:pPr>
      <w:r>
        <w:rPr>
          <w:bCs/>
          <w:b/>
        </w:rPr>
        <w:t xml:space="preserve">Trích dẫn Section P — Data360 Atlas (v2.6)</w:t>
      </w:r>
      <w:r>
        <w:t xml:space="preserve">:</w:t>
      </w:r>
    </w:p>
    <w:p>
      <w:pPr>
        <w:numPr>
          <w:ilvl w:val="1"/>
          <w:numId w:val="1019"/>
        </w:numPr>
        <w:pStyle w:val="Compact"/>
      </w:pPr>
      <w:r>
        <w:t xml:space="preserve">Internet access story:</w:t>
      </w:r>
      <w:r>
        <w:t xml:space="preserve"> </w:t>
      </w:r>
      <w:r>
        <w:t xml:space="preserve">“</w:t>
      </w:r>
      <w:r>
        <w:t xml:space="preserve">Pirlea &amp; Corso (2026)</w:t>
      </w:r>
      <w:r>
        <w:t xml:space="preserve">”</w:t>
      </w:r>
    </w:p>
    <w:p>
      <w:pPr>
        <w:numPr>
          <w:ilvl w:val="1"/>
          <w:numId w:val="1019"/>
        </w:numPr>
        <w:pStyle w:val="Compact"/>
      </w:pPr>
      <w:r>
        <w:t xml:space="preserve">AI inequality story:</w:t>
      </w:r>
      <w:r>
        <w:t xml:space="preserve"> </w:t>
      </w:r>
      <w:r>
        <w:t xml:space="preserve">“</w:t>
      </w:r>
      <w:r>
        <w:t xml:space="preserve">Mahler, Wang &amp; Weber (2026)</w:t>
      </w:r>
      <w:r>
        <w:t xml:space="preserve">”</w:t>
      </w:r>
    </w:p>
    <w:p>
      <w:pPr>
        <w:numPr>
          <w:ilvl w:val="1"/>
          <w:numId w:val="1019"/>
        </w:numPr>
        <w:pStyle w:val="Compact"/>
      </w:pPr>
      <w:r>
        <w:t xml:space="preserve">Atlas overview/statistics:</w:t>
      </w:r>
      <w:r>
        <w:t xml:space="preserve"> </w:t>
      </w:r>
      <w:r>
        <w:t xml:space="preserve">“</w:t>
      </w:r>
      <w:r>
        <w:t xml:space="preserve">Pirlea et al. (2026 — Atlas)</w:t>
      </w:r>
      <w:r>
        <w:t xml:space="preserve">”</w:t>
      </w:r>
    </w:p>
    <w:p>
      <w:pPr>
        <w:numPr>
          <w:ilvl w:val="1"/>
          <w:numId w:val="1019"/>
        </w:numPr>
        <w:pStyle w:val="Compact"/>
      </w:pPr>
      <w:r>
        <w:t xml:space="preserve">Commodity markets blog:</w:t>
      </w:r>
      <w:r>
        <w:t xml:space="preserve"> </w:t>
      </w:r>
      <w:r>
        <w:t xml:space="preserve">“</w:t>
      </w:r>
      <w:r>
        <w:t xml:space="preserve">Agnolucci, Kenworthy &amp; Kose (2026)</w:t>
      </w:r>
      <w:r>
        <w:t xml:space="preserve">”</w:t>
      </w:r>
    </w:p>
    <w:p>
      <w:pPr>
        <w:numPr>
          <w:ilvl w:val="1"/>
          <w:numId w:val="1019"/>
        </w:numPr>
        <w:pStyle w:val="Compact"/>
      </w:pPr>
      <w:r>
        <w:t xml:space="preserve">AI financial supervision G20:</w:t>
      </w:r>
      <w:r>
        <w:t xml:space="preserve"> </w:t>
      </w:r>
      <w:r>
        <w:t xml:space="preserve">“</w:t>
      </w:r>
      <w:r>
        <w:t xml:space="preserve">Boeddu et al. (2025)</w:t>
      </w:r>
      <w:r>
        <w:t xml:space="preserve">”</w:t>
      </w:r>
    </w:p>
    <w:p>
      <w:pPr>
        <w:numPr>
          <w:ilvl w:val="0"/>
          <w:numId w:val="1018"/>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8"/>
        </w:numPr>
        <w:pStyle w:val="Compact"/>
      </w:pPr>
      <w:r>
        <w:rPr>
          <w:bCs/>
          <w:b/>
        </w:rPr>
        <w:t xml:space="preserve">Trích dẫn Section Q — Singapore ecosystem (v2.7)</w:t>
      </w:r>
      <w:r>
        <w:t xml:space="preserve">:</w:t>
      </w:r>
    </w:p>
    <w:p>
      <w:pPr>
        <w:numPr>
          <w:ilvl w:val="1"/>
          <w:numId w:val="1020"/>
        </w:numPr>
        <w:pStyle w:val="Compact"/>
      </w:pPr>
      <w:r>
        <w:t xml:space="preserve">SWITCH 2025:</w:t>
      </w:r>
      <w:r>
        <w:t xml:space="preserve"> </w:t>
      </w:r>
      <w:r>
        <w:t xml:space="preserve">“</w:t>
      </w:r>
      <w:r>
        <w:t xml:space="preserve">Enterprise Singapore (2025)</w:t>
      </w:r>
      <w:r>
        <w:t xml:space="preserve">”</w:t>
      </w:r>
    </w:p>
    <w:p>
      <w:pPr>
        <w:numPr>
          <w:ilvl w:val="1"/>
          <w:numId w:val="1020"/>
        </w:numPr>
        <w:pStyle w:val="Compact"/>
      </w:pPr>
      <w:r>
        <w:t xml:space="preserve">Digital government rankings:</w:t>
      </w:r>
      <w:r>
        <w:t xml:space="preserve"> </w:t>
      </w:r>
      <w:r>
        <w:t xml:space="preserve">“</w:t>
      </w:r>
      <w:r>
        <w:t xml:space="preserve">GovTech Singapore (2024)</w:t>
      </w:r>
      <w:r>
        <w:t xml:space="preserve">”</w:t>
      </w:r>
    </w:p>
    <w:p>
      <w:pPr>
        <w:numPr>
          <w:ilvl w:val="1"/>
          <w:numId w:val="1020"/>
        </w:numPr>
        <w:pStyle w:val="Compact"/>
      </w:pPr>
      <w:r>
        <w:t xml:space="preserve">ATxSG summit:</w:t>
      </w:r>
      <w:r>
        <w:t xml:space="preserve"> </w:t>
      </w:r>
      <w:r>
        <w:t xml:space="preserve">“</w:t>
      </w:r>
      <w:r>
        <w:t xml:space="preserve">IMDA (2025)</w:t>
      </w:r>
      <w:r>
        <w:t xml:space="preserve">”</w:t>
      </w:r>
    </w:p>
    <w:p>
      <w:pPr>
        <w:numPr>
          <w:ilvl w:val="1"/>
          <w:numId w:val="1020"/>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8"/>
        </w:numPr>
        <w:pStyle w:val="Compact"/>
      </w:pPr>
      <w:r>
        <w:rPr>
          <w:bCs/>
          <w:b/>
        </w:rPr>
        <w:t xml:space="preserve">Trích dẫn Section T — WB Working Papers 2015/2026 (v2.9)</w:t>
      </w:r>
      <w:r>
        <w:t xml:space="preserve">:</w:t>
      </w:r>
    </w:p>
    <w:p>
      <w:pPr>
        <w:numPr>
          <w:ilvl w:val="1"/>
          <w:numId w:val="1021"/>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1"/>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21"/>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1"/>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1"/>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18"/>
    <w:bookmarkStart w:id="219" w:name="khi-nộp-bản-cuối"/>
    <w:p>
      <w:pPr>
        <w:pStyle w:val="Heading3"/>
      </w:pPr>
      <w:r>
        <w:t xml:space="preserve">Khi nộp bản cuối</w:t>
      </w:r>
    </w:p>
    <w:p>
      <w:pPr>
        <w:numPr>
          <w:ilvl w:val="0"/>
          <w:numId w:val="1022"/>
        </w:numPr>
        <w:pStyle w:val="Compact"/>
      </w:pPr>
      <w:r>
        <w:t xml:space="preserve">Xác minh DOI trên Crossref hoặc trang publisher cho các entry không quen thuộc.</w:t>
      </w:r>
    </w:p>
    <w:p>
      <w:pPr>
        <w:numPr>
          <w:ilvl w:val="0"/>
          <w:numId w:val="1022"/>
        </w:numPr>
        <w:pStyle w:val="Compact"/>
      </w:pPr>
      <w:r>
        <w:t xml:space="preserve">Kiểm tra nhất quán italic và punctuation theo APA 7th.</w:t>
      </w:r>
    </w:p>
    <w:p>
      <w:pPr>
        <w:numPr>
          <w:ilvl w:val="0"/>
          <w:numId w:val="1022"/>
        </w:numPr>
        <w:pStyle w:val="Compact"/>
      </w:pPr>
      <w:r>
        <w:t xml:space="preserve">Yang et al. (2025) JBR: hiện chưa verify được volume/pages — cần kiểm tra Crossref hoặc loại bỏ.</w:t>
      </w:r>
    </w:p>
    <w:p>
      <w:pPr>
        <w:numPr>
          <w:ilvl w:val="0"/>
          <w:numId w:val="1022"/>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2"/>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2"/>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19"/>
    <w:bookmarkStart w:id="220"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20"/>
    <w:bookmarkEnd w:id="221"/>
    <w:bookmarkStart w:id="22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22"/>
    <w:bookmarkStart w:id="22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23"/>
    <w:bookmarkStart w:id="22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24"/>
    <w:bookmarkStart w:id="22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25"/>
    <w:bookmarkStart w:id="22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26" w:name="X041759103c7c799db9799d6bd71834307a428c8"/>
    <w:p>
      <w:pPr>
        <w:pStyle w:val="Heading3"/>
      </w:pPr>
      <w:r>
        <w:t xml:space="preserve">Công trình của tác giả luận án — Cập nhật Section M</w:t>
      </w:r>
    </w:p>
    <w:bookmarkEnd w:id="226"/>
    <w:bookmarkStart w:id="22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27"/>
    <w:bookmarkStart w:id="22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28"/>
    <w:bookmarkEnd w:id="229"/>
    <w:bookmarkStart w:id="230" w:name="Xfcfd97cb98ed3f4d1b64063e814942600c7ed0b"/>
    <w:p>
      <w:pPr>
        <w:pStyle w:val="Heading2"/>
      </w:pPr>
      <w:r>
        <w:t xml:space="preserve">Bổ sung v2.8 — Thao tác hóa FSTS trực tiếp/gián tiếp (Chương 3 §3.3.2, CĐ1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30"/>
    <w:bookmarkStart w:id="231" w:name="X0594839b64ebc9cf139e008fd0f7618dc7babbe"/>
    <w:p>
      <w:pPr>
        <w:pStyle w:val="Heading2"/>
      </w:pPr>
      <w:r>
        <w:t xml:space="preserve">Bổ sung v2.9 — Phân biệt cấu trúc số (Chương 2 §2.2.5, Chương 3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231"/>
    <w:bookmarkStart w:id="232"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p>
      <w:r>
        <w:br w:type="page"/>
      </w:r>
    </w:p>
    <w:bookmarkEnd w:id="232"/>
    <w:bookmarkEnd w:id="233"/>
    <w:bookmarkStart w:id="24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3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34"/>
    <w:bookmarkStart w:id="23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35"/>
    <w:bookmarkStart w:id="23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36"/>
    <w:bookmarkStart w:id="23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3"/>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3"/>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3"/>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23"/>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7"/>
    <w:bookmarkStart w:id="23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4"/>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4"/>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38"/>
    <w:bookmarkStart w:id="239"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39"/>
    <w:bookmarkStart w:id="24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40"/>
    <w:bookmarkStart w:id="24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41"/>
    <w:bookmarkStart w:id="24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42"/>
    <w:bookmarkStart w:id="24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43"/>
    <w:bookmarkEnd w:id="24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50" Target="media/rId1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2026-06-14T18:33:19Z</dcterms:created>
  <dcterms:modified xsi:type="dcterms:W3CDTF">2026-06-14T18:33:19Z</dcterms:modified>
</cp:coreProperties>
</file>

<file path=docProps/custom.xml><?xml version="1.0" encoding="utf-8"?>
<Properties xmlns="http://schemas.openxmlformats.org/officeDocument/2006/custom-properties" xmlns:vt="http://schemas.openxmlformats.org/officeDocument/2006/docPropsVTypes"/>
</file>