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Author details removed for blind review</w:t>
      </w:r>
    </w:p>
    <w:p>
      <w:pPr>
        <w:pStyle w:val="BodyText"/>
      </w:pPr>
      <w:r>
        <w:rPr>
          <w:iCs/>
          <w:i/>
        </w:rPr>
        <w:t xml:space="preserve">6 May 2026</w:t>
      </w:r>
    </w:p>
    <w:p>
      <w:pPr>
        <w:pStyle w:val="BodyText"/>
      </w:pPr>
      <w:r>
        <w:rPr>
          <w:iCs/>
          <w:i/>
        </w:rPr>
        <w:t xml:space="preserve">Target journal: Asia Pacific Journal of Management (APJM)</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4 (Table 1 descriptives; Table 2 focal coefficient summary; Table 3 robustness panels; Table 4 turning points).</w:t>
      </w:r>
    </w:p>
    <w:p>
      <w:pPr>
        <w:pStyle w:val="BodyText"/>
      </w:pPr>
      <w:r>
        <w:rPr>
          <w:bCs/>
          <w:b/>
        </w:rPr>
        <w:t xml:space="preserve">Figures:</w:t>
      </w:r>
      <w:r>
        <w:t xml:space="preserve"> </w:t>
      </w:r>
      <w:r>
        <w:t xml:space="preserve">6 (Figure 1 conceptual model; Figures 2a–2d wave-specific FSTS curves; Figure 3 moderation curves at p25 vs p75 of moderator).</w:t>
      </w:r>
    </w:p>
    <w:p>
      <w:r>
        <w:pict>
          <v:rect style="width:0;height:1.5pt" o:hralign="center" o:hrstd="t" o:hr="t"/>
        </w:pict>
      </w:r>
    </w:p>
    <w:bookmarkStart w:id="20" w:name="abstract"/>
    <w:p>
      <w:pPr>
        <w:pStyle w:val="Heading2"/>
      </w:pPr>
      <w:r>
        <w:t xml:space="preserve">Abstract</w:t>
      </w:r>
    </w:p>
    <w:p>
      <w:pPr>
        <w:pStyle w:val="FirstParagraph"/>
      </w:pPr>
      <w:r>
        <w:t xml:space="preserve">Purpose. This study revisits the internationalisation–performance relationship in an emerging</w:t>
      </w:r>
      <w:r>
        <w:t xml:space="preserve"> </w:t>
      </w:r>
      <w:r>
        <w:t xml:space="preserve">market and examines how technological capability and foundational digital adoption are associated with firms' productivity under conditions of institutional and digital transition. Focusing</w:t>
      </w:r>
      <w:r>
        <w:t xml:space="preserve"> </w:t>
      </w:r>
      <w:r>
        <w:t xml:space="preserve">on Vietnam, it asks whether export intensity is nonlinearly associated with labour productivity</w:t>
      </w:r>
      <w:r>
        <w:t xml:space="preserve"> </w:t>
      </w:r>
      <w:r>
        <w:t xml:space="preserve">and whether technological capability and foundational digital adoption play distinct roles across</w:t>
      </w:r>
      <w:r>
        <w:t xml:space="preserve"> </w:t>
      </w:r>
      <w:r>
        <w:t xml:space="preserve">survey waves.</w:t>
      </w:r>
      <w:r>
        <w:t xml:space="preserve"> </w:t>
      </w:r>
      <w:r>
        <w:t xml:space="preserve">Design/methodology/approach. The study uses three waves of World Bank Enterprise Survey</w:t>
      </w:r>
      <w:r>
        <w:t xml:space="preserve"> </w:t>
      </w:r>
      <w:r>
        <w:t xml:space="preserve">data for Vietnam (2009, 2015 and 2023; pooled N = 2,958) and estimates wave-specific and</w:t>
      </w:r>
      <w:r>
        <w:t xml:space="preserve"> </w:t>
      </w:r>
      <w:r>
        <w:t xml:space="preserve">pooled OLS models with HC1 robust standard errors, quadratic export-intensity terms and interaction specifications. The analysis distinguishes a Technological Capability Index based on</w:t>
      </w:r>
      <w:r>
        <w:t xml:space="preserve"> </w:t>
      </w:r>
      <w:r>
        <w:t xml:space="preserve">internationally recognised quality certification and foreign-licensed technology from a foundational Digital Adoption Index based on website presence, with no shared items between the two</w:t>
      </w:r>
      <w:r>
        <w:t xml:space="preserve"> </w:t>
      </w:r>
      <w:r>
        <w:t xml:space="preserve">constructs. Supplementary checks assess the stability of the main findings.</w:t>
      </w:r>
      <w:r>
        <w:t xml:space="preserve"> </w:t>
      </w:r>
      <w:r>
        <w:t xml:space="preserve">Findings, The productivity benefits of internationalisation are concentrated primarily at the participation margin, the step from non-exporting to exporting, while within-exporter intensity yields diminishing to null marginal returns (Panel H). The full-sample inverted-U (turning points 39–46% FSTS) is identified mainly through this participation step rather than through dense curvature within the exporter subsample. Technological capability is positively associated with productivity in all three waves and in the pooled sample, and its moderating role is more stable than that of foundational digital adoption. Foundational digital adoption is positive in 2009 and 2023, null in 2015, and only shows within-sample detectable moderation in 2023. Instrumental-variable estimation (Panel K) yields a null instrumented DAI coefficient (β = 0.018, p = .942, first-stage F = 34.6), indicating that the OLS-estimated positive DAI association is likely selection-driven rather than causal.</w:t>
      </w:r>
    </w:p>
    <w:p>
      <w:pPr>
        <w:pStyle w:val="BodyText"/>
      </w:pPr>
      <w:r>
        <w:t xml:space="preserve">Originality/value. The study contributes to research on emerging markets by distinguishing</w:t>
      </w:r>
      <w:r>
        <w:t xml:space="preserve"> </w:t>
      </w:r>
      <w:r>
        <w:t xml:space="preserve">foreign-technology / standards capability from foundational digital adoption and by showing</w:t>
      </w:r>
      <w:r>
        <w:t xml:space="preserve"> </w:t>
      </w:r>
      <w:r>
        <w:t xml:space="preserve">that pooled digital effects can mask substantial temporal heterogeneity. The findings suggest</w:t>
      </w:r>
      <w:r>
        <w:t xml:space="preserve"> </w:t>
      </w:r>
      <w:r>
        <w:t xml:space="preserve">that the productivity relevance of basic digital adoption is context-sensitive and wave-specific</w:t>
      </w:r>
      <w:r>
        <w:t xml:space="preserve"> </w:t>
      </w:r>
      <w:r>
        <w:t xml:space="preserve">rather than uniformly stable across stages of internationalisation.</w:t>
      </w:r>
    </w:p>
    <w:p>
      <w:pPr>
        <w:pStyle w:val="BodyText"/>
      </w:pPr>
      <w:r>
        <w:t xml:space="preserve">Keywords: internationalisation–performance; emerging markets; digital adoption; technological capability;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and digital adoption are separated as non-overlapping primary</w:t>
      </w:r>
      <w:r>
        <w:t xml:space="preserve"> </w:t>
      </w:r>
      <w:r>
        <w:t xml:space="preserve">measures:</w:t>
      </w:r>
      <w:r>
        <w:t xml:space="preserve"> </w:t>
      </w:r>
      <m:oMath>
        <m:acc>
          <m:accPr>
            <m:chr m:val="̃"/>
          </m:accPr>
          <m:e>
            <m:r>
              <m:rPr>
                <m:sty m:val="p"/>
              </m:rPr>
              <m:t>T</m:t>
            </m:r>
            <m:r>
              <m:rPr>
                <m:sty m:val="p"/>
              </m:rPr>
              <m:t>C</m:t>
            </m:r>
            <m:r>
              <m:rPr>
                <m:sty m:val="p"/>
              </m:rPr>
              <m:t>I</m:t>
            </m:r>
          </m:e>
        </m:acc>
      </m:oMath>
      <w:r>
        <w:t xml:space="preserve"> </w:t>
      </w:r>
      <w:r>
        <w:t xml:space="preserve">is the within-wave standardised mean of quality certification and foreignlicensed technology, whereas</w:t>
      </w:r>
      <w:r>
        <w:t xml:space="preserve"> </w:t>
      </w:r>
      <m:oMath>
        <m:acc>
          <m:accPr>
            <m:chr m:val="̃"/>
          </m:accPr>
          <m:e>
            <m:r>
              <m:rPr>
                <m:sty m:val="p"/>
              </m:rPr>
              <m:t>D</m:t>
            </m:r>
            <m:r>
              <m:rPr>
                <m:sty m:val="p"/>
              </m:rPr>
              <m:t>A</m:t>
            </m:r>
            <m:r>
              <m:rPr>
                <m:sty m:val="p"/>
              </m:rPr>
              <m:t>I</m:t>
            </m:r>
          </m:e>
        </m:acc>
      </m:oMath>
      <w:r>
        <w:t xml:space="preserve"> </w:t>
      </w:r>
      <w:r>
        <w:t xml:space="preserve">is the within-wave standardised website-based digitalpresence indicator.</w:t>
      </w:r>
    </w:p>
    <w:p>
      <w:pPr>
        <w:pStyle w:val="BodyText"/>
      </w:pPr>
      <w:r>
        <w:t xml:space="preserve"></w:t>
      </w:r>
      <w:r>
        <w:t xml:space="preserve"> </w:t>
      </w:r>
      <m:oMath>
        <m:acc>
          <m:accPr>
            <m:chr m:val="̃"/>
          </m:accPr>
          <m:e>
            <m:r>
              <m:rPr>
                <m:sty m:val="p"/>
              </m:rPr>
              <m:t>T</m:t>
            </m:r>
            <m:r>
              <m:rPr>
                <m:sty m:val="p"/>
              </m:rPr>
              <m:t>C</m:t>
            </m:r>
            <m:r>
              <m:rPr>
                <m:sty m:val="p"/>
              </m:rPr>
              <m:t>I</m:t>
            </m:r>
          </m:e>
        </m:acc>
      </m:oMath>
      <w:r>
        <w:t xml:space="preserve"> </w:t>
      </w:r>
      <w:r>
        <w:t xml:space="preserve">is positively associated with productivity in all three waves (β = 0.215, 0.128,</w:t>
      </w:r>
      <w:r>
        <w:t xml:space="preserve"> </w:t>
      </w:r>
      <w:r>
        <w:t xml:space="preserve">0.123) and pooled (β = 0.179, p &lt; .001), and moderates the curvature in three of four</w:t>
      </w:r>
      <w:r>
        <w:t xml:space="preserve"> </w:t>
      </w:r>
      <w:r>
        <w:t xml:space="preserve">panels (M3 joint p = .040, .713, .027 and .003).</w:t>
      </w:r>
    </w:p>
    <w:p>
      <w:pPr>
        <w:pStyle w:val="BodyText"/>
      </w:pPr>
      <w:r>
        <w:t xml:space="preserve"></w:t>
      </w:r>
      <w:r>
        <w:t xml:space="preserve"> </w:t>
      </w:r>
      <m:oMath>
        <m:acc>
          <m:accPr>
            <m:chr m:val="̃"/>
          </m:accPr>
          <m:e>
            <m:r>
              <m:rPr>
                <m:sty m:val="p"/>
              </m:rPr>
              <m:t>D</m:t>
            </m:r>
            <m:r>
              <m:rPr>
                <m:sty m:val="p"/>
              </m:rPr>
              <m:t>A</m:t>
            </m:r>
            <m:r>
              <m:rPr>
                <m:sty m:val="p"/>
              </m:rPr>
              <m:t>I</m:t>
            </m:r>
          </m:e>
        </m:acc>
      </m:oMath>
      <w:r>
        <w:t xml:space="preserve"> </w:t>
      </w:r>
      <w:r>
        <w:t xml:space="preserve">is strongest in 2009 (β = 0.175, p &lt; .001), null in 2015 (β = -0.044, p = .377),</w:t>
      </w:r>
      <w:r>
        <w:t xml:space="preserve"> </w:t>
      </w:r>
      <w:r>
        <w:t xml:space="preserve">positive in 2023 (β = 0.095, p = .038) and pooled (β = 0.078, p = .004); the cross-wave</w:t>
      </w:r>
      <w:r>
        <w:t xml:space="preserve"> </w:t>
      </w:r>
      <w:r>
        <w:t xml:space="preserve">shifts are statistically distinguishable (Paternoster z = 3.353 between 2009 and 2015; z =</w:t>
      </w:r>
      <w:r>
        <w:t xml:space="preserve"> </w:t>
      </w:r>
      <w:r>
        <w:t xml:space="preserve">-2.051 between 2015 and 2023).</w:t>
      </w:r>
    </w:p>
    <w:p>
      <w:pPr>
        <w:pStyle w:val="BodyText"/>
      </w:pPr>
      <w:r>
        <w:t xml:space="preserve"> DAI moderation is concentrated in 2023, where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w:t>
      </w:r>
      <w:r>
        <w:t xml:space="preserve"> </w:t>
      </w:r>
      <w:r>
        <w:t xml:space="preserve">and the M8 joint test is marginal (p = .062); the pooled M8 joint test is also marginal (p</w:t>
      </w:r>
      <w:r>
        <w:t xml:space="preserve"> </w:t>
      </w:r>
      <w:r>
        <w:t xml:space="preserve">= .083), driven by 2023 rather than by a stable cross-period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w:t>
      </w:r>
    </w:p>
    <w:p>
      <w:pPr>
        <w:pStyle w:val="BodyText"/>
      </w:pPr>
      <w:r>
        <w:t xml:space="preserve">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w:t>
      </w:r>
    </w:p>
    <w:p>
      <w:pPr>
        <w:pStyle w:val="BodyText"/>
      </w:pPr>
      <w:r>
        <w:t xml:space="preserve">Digital tools can reduce</w:t>
      </w:r>
    </w:p>
    <w:p>
      <w:pPr>
        <w:pStyle w:val="BodyText"/>
      </w:pPr>
      <w:r>
        <w:t xml:space="preserve">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bookmarkEnd w:id="22"/>
    <w:bookmarkStart w:id="23"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w:t>
      </w:r>
    </w:p>
    <w:bookmarkEnd w:id="23"/>
    <w:bookmarkStart w:id="24"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shows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lifecycle interpretation of digital internationalisation.</w:t>
      </w:r>
    </w:p>
    <w:p>
      <w:pPr>
        <w:pStyle w:val="BodyText"/>
      </w:pPr>
      <w:r>
        <w:t xml:space="preserve">The</w:t>
      </w:r>
    </w:p>
    <w:p>
      <w:pPr>
        <w:pStyle w:val="BodyText"/>
      </w:pPr>
      <w:r>
        <w:t xml:space="preserve">evidence suggests that digital capability is neither a universally stable premium nor a uniformly</w:t>
      </w:r>
      <w:r>
        <w:t xml:space="preserve"> </w:t>
      </w:r>
      <w:r>
        <w:t xml:space="preserve">ineffective resource. Instead, it is an uneven and stage-dependent source of performance heterogeneity. This perspective helps explain why pooled average effects may coexist with substantial</w:t>
      </w:r>
      <w:r>
        <w:t xml:space="preserve"> </w:t>
      </w:r>
      <w:r>
        <w:t xml:space="preserve">wave-specific differences.</w:t>
      </w:r>
    </w:p>
    <w:p>
      <w:pPr>
        <w:pStyle w:val="BodyText"/>
      </w:pPr>
      <w:r>
        <w:t xml:space="preserve">A fourth contribution is contextual: Vietnam's empirical pattern provides a participation-and-intensity decomposition showing that the robustly identified inverted-U (turning point 39–46 % FSTS) is driven primarily by the participation margin: within the exporter subsample, intensity variation yields flat to diminishing returns (Panel H), qualifying the conventional reading of the inverted-U pattern. The divergence between this pattern and those documented in digitally advanced economies, where the coordination-cost mechanism is attenuated by comprehensive digital infrastructure, points toward institution-level mechanisms as candidate moderators of I–P curve location. This within-context evidence anchors the digitally transitional end of the institutional spectrum.</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5"/>
    <w:bookmarkEnd w:id="26"/>
    <w:bookmarkStart w:id="31"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The internationalisation–performance relationship in Vietnam is non-monotonic</w:t>
      </w:r>
      <w:r>
        <w:t xml:space="preserve"> </w:t>
      </w:r>
      <w:r>
        <w:t xml:space="preserve">in the full sample and is best understood through a participation-and-intensity structure in a zero-inflated export setting. (H1a, participation margin) Crossing from</w:t>
      </w:r>
      <w:r>
        <w:t xml:space="preserve"> </w:t>
      </w:r>
      <w:r>
        <w:t xml:space="preserve">non-exporting (FSTS = 0) to exporting (FSTS &gt; 0) is positively associated with</w:t>
      </w:r>
      <w:r>
        <w:t xml:space="preserve"> </w:t>
      </w:r>
      <w:r>
        <w:t xml:space="preserve">labour productivity, capturing the learning-and-scale jump at entry. (H1b, intensity</w:t>
      </w:r>
      <w:r>
        <w:t xml:space="preserve"> </w:t>
      </w:r>
      <w:r>
        <w:t xml:space="preserve">margin) Within the exporter subsample, additional direct-export intensity is expected</w:t>
      </w:r>
      <w:r>
        <w:t xml:space="preserve"> </w:t>
      </w:r>
      <w:r>
        <w:t xml:space="preserve">to exhibit weaker, diminishing, or non-significant marginal returns relative to the</w:t>
      </w:r>
      <w:r>
        <w:t xml:space="preserve"> </w:t>
      </w:r>
      <w:r>
        <w:t xml:space="preserve">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w:t>
      </w:r>
      <w:r>
        <w:t xml:space="preserve"> </w:t>
      </w:r>
      <m:oMath>
        <m:acc>
          <m:accPr>
            <m:chr m:val="̃"/>
          </m:accPr>
          <m:e>
            <m:r>
              <m:rPr>
                <m:sty m:val="p"/>
              </m:rPr>
              <m:t>T</m:t>
            </m:r>
            <m:r>
              <m:rPr>
                <m:sty m:val="p"/>
              </m:rPr>
              <m:t>C</m:t>
            </m:r>
            <m:r>
              <m:rPr>
                <m:sty m:val="p"/>
              </m:rPr>
              <m:t>I</m:t>
            </m:r>
          </m:e>
        </m:acc>
      </m:oMath>
      <w:r>
        <w:t xml:space="preserve"> </w:t>
      </w:r>
      <w:r>
        <w:t xml:space="preserve">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w:t>
      </w:r>
      <m:oMath>
        <m:sSub>
          <m:e>
            <m:r>
              <m:rPr>
                <m:sty m:val="p"/>
              </m:rPr>
              <m:t>T</m:t>
            </m:r>
            <m:r>
              <m:rPr>
                <m:sty m:val="p"/>
              </m:rPr>
              <m:t>C</m:t>
            </m:r>
            <m:r>
              <m:rPr>
                <m:sty m:val="p"/>
              </m:rPr>
              <m:t>I</m:t>
            </m:r>
          </m:e>
          <m:sub>
            <m:r>
              <m:rPr>
                <m:nor/>
                <m:sty m:val="p"/>
              </m:rPr>
              <m:t>full</m:t>
            </m:r>
          </m:sub>
        </m:sSub>
      </m:oMath>
      <w:r>
        <w:t xml:space="preserve">,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Foreign-technology / standards capability (</w:t>
      </w:r>
      <m:oMath>
        <m:acc>
          <m:accPr>
            <m:chr m:val="̃"/>
          </m:accPr>
          <m:e>
            <m:r>
              <m:rPr>
                <m:sty m:val="p"/>
              </m:rPr>
              <m:t>T</m:t>
            </m:r>
            <m:r>
              <m:rPr>
                <m:sty m:val="p"/>
              </m:rPr>
              <m:t>C</m:t>
            </m:r>
            <m:r>
              <m:rPr>
                <m:sty m:val="p"/>
              </m:rPr>
              <m:t>I</m:t>
            </m:r>
          </m:e>
        </m:acc>
      </m:oMath>
      <w:r>
        <w:t xml:space="preserve">) is positively associated with</w:t>
      </w:r>
      <w:r>
        <w:t xml:space="preserve"> </w:t>
      </w:r>
      <w:r>
        <w:t xml:space="preserve">firm performance in Vietnam.</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w:t>
      </w:r>
      <w:r>
        <w:t xml:space="preserve"> </w:t>
      </w:r>
      <m:oMath>
        <m:acc>
          <m:accPr>
            <m:chr m:val="̃"/>
          </m:accPr>
          <m:e>
            <m:r>
              <m:rPr>
                <m:sty m:val="p"/>
              </m:rPr>
              <m:t>D</m:t>
            </m:r>
            <m:r>
              <m:rPr>
                <m:sty m:val="p"/>
              </m:rPr>
              <m:t>A</m:t>
            </m:r>
            <m:r>
              <m:rPr>
                <m:sty m:val="p"/>
              </m:rPr>
              <m:t>I</m:t>
            </m:r>
          </m:e>
        </m:acc>
      </m:oMath>
      <w:r>
        <w:t xml:space="preserve"> </w:t>
      </w:r>
      <w:r>
        <w:t xml:space="preserve">used in this paper is a website-based digital presence measure: a binary indicator of whether the firm has its own website. This is a foundational and cross-wave-comparable</w:t>
      </w:r>
      <w:r>
        <w:t xml:space="preserve"> </w:t>
      </w:r>
      <w:r>
        <w:t xml:space="preserve">marker of digital adoption,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a website does not by itself integrate transactions,</w:t>
      </w:r>
      <w:r>
        <w:t xml:space="preserve"> </w:t>
      </w:r>
      <w:r>
        <w:t xml:space="preserve">supply chains, or decision-making,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digital presence (websites, e-mail); Tier 2, digital communication and basic e-commerce;</w:t>
      </w:r>
      <w:r>
        <w:t xml:space="preserve"> </w:t>
      </w:r>
      <w:r>
        <w:t xml:space="preserve">Tier 3, digital process integration (electronic payment, supply-chain digitisation); Tier 4, dynamic digital capability (data-driven decision-making, AI integration). The primary</w:t>
      </w:r>
      <w:r>
        <w:t xml:space="preserve"> </w:t>
      </w:r>
      <m:oMath>
        <m:acc>
          <m:accPr>
            <m:chr m:val="̃"/>
          </m:accPr>
          <m:e>
            <m:r>
              <m:rPr>
                <m:sty m:val="p"/>
              </m:rPr>
              <m:t>D</m:t>
            </m:r>
            <m:r>
              <m:rPr>
                <m:sty m:val="p"/>
              </m:rPr>
              <m:t>A</m:t>
            </m:r>
            <m:r>
              <m:rPr>
                <m:sty m:val="p"/>
              </m:rPr>
              <m:t>I</m:t>
            </m:r>
          </m:e>
        </m:acc>
      </m:oMath>
    </w:p>
    <w:p>
      <w:pPr>
        <w:pStyle w:val="BodyText"/>
      </w:pPr>
      <w:r>
        <w:t xml:space="preserve">anchors at Tier 1 only. A Tier 3-style extension (</w:t>
      </w:r>
      <m:oMath>
        <m:sSub>
          <m:e>
            <m:r>
              <m:rPr>
                <m:sty m:val="p"/>
              </m:rPr>
              <m:t>D</m:t>
            </m:r>
            <m:r>
              <m:rPr>
                <m:sty m:val="p"/>
              </m:rPr>
              <m:t>A</m:t>
            </m:r>
            <m:r>
              <m:rPr>
                <m:sty m:val="p"/>
              </m:rPr>
              <m:t>I</m:t>
            </m:r>
          </m:e>
          <m:sub>
            <m:r>
              <m:rPr>
                <m:nor/>
                <m:sty m:val="p"/>
              </m:rPr>
              <m:t>rich</m:t>
            </m:r>
          </m:sub>
        </m:sSub>
      </m:oMath>
      <w:r>
        <w:t xml:space="preserve">)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w:t>
      </w:r>
      <w:r>
        <w:t xml:space="preserve"> </w:t>
      </w:r>
      <m:oMath>
        <m:acc>
          <m:accPr>
            <m:chr m:val="̃"/>
          </m:accPr>
          <m:e>
            <m:r>
              <m:rPr>
                <m:sty m:val="p"/>
              </m:rPr>
              <m:t>D</m:t>
            </m:r>
            <m:r>
              <m:rPr>
                <m:sty m:val="p"/>
              </m:rPr>
              <m:t>A</m:t>
            </m:r>
            <m:r>
              <m:rPr>
                <m:sty m:val="p"/>
              </m:rPr>
              <m:t>I</m:t>
            </m:r>
          </m:e>
        </m:acc>
      </m:oMath>
      <w:r>
        <w:t xml:space="preserve"> </w:t>
      </w:r>
      <w:r>
        <w:t xml:space="preserve">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functioning as a conditional scaling complement rather than a coordination-strain amplifier, because the surrounding ecosystem can absorb cross-border transaction processing that a website alone cannot.</w:t>
      </w:r>
    </w:p>
    <w:p>
      <w:pPr>
        <w:pStyle w:val="BodyText"/>
      </w:pPr>
      <w:r>
        <w:t xml:space="preserve">H3. Website-based digital presence (</w:t>
      </w:r>
      <m:oMath>
        <m:acc>
          <m:accPr>
            <m:chr m:val="̃"/>
          </m:accPr>
          <m:e>
            <m:r>
              <m:rPr>
                <m:sty m:val="p"/>
              </m:rPr>
              <m:t>D</m:t>
            </m:r>
            <m:r>
              <m:rPr>
                <m:sty m:val="p"/>
              </m:rPr>
              <m:t>A</m:t>
            </m:r>
            <m:r>
              <m:rPr>
                <m:sty m:val="p"/>
              </m:rPr>
              <m:t>I</m:t>
            </m:r>
          </m:e>
        </m:acc>
      </m:oMath>
      <w:r>
        <w:t xml:space="preserve">) is positively associated with firm performance in Vietnam on average.</w:t>
      </w:r>
    </w:p>
    <w:bookmarkEnd w:id="29"/>
    <w:bookmarkStart w:id="30" w:name="Xa301591a4bdc42129e76c2a2b73514232150381"/>
    <w:p>
      <w:pPr>
        <w:pStyle w:val="Heading3"/>
      </w:pPr>
      <w:r>
        <w:t xml:space="preserve">2.4 Stage-contingent digital value</w:t>
      </w:r>
    </w:p>
    <w:p>
      <w:pPr>
        <w:pStyle w:val="FirstParagraph"/>
      </w:pPr>
      <w:r>
        <w:t xml:space="preserve">The core theoretical claim of this study is that foundational digital adoption is stage contingent.</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t xml:space="preserve">H4 (exploratory). The productivity relevance of foundational digital adoption (</w:t>
      </w:r>
      <m:oMath>
        <m:acc>
          <m:accPr>
            <m:chr m:val="̃"/>
          </m:accPr>
          <m:e>
            <m:r>
              <m:rPr>
                <m:sty m:val="p"/>
              </m:rPr>
              <m:t>D</m:t>
            </m:r>
            <m:r>
              <m:rPr>
                <m:sty m:val="p"/>
              </m:rPr>
              <m:t>A</m:t>
            </m:r>
            <m:r>
              <m:rPr>
                <m:sty m:val="p"/>
              </m:rPr>
              <m:t>I</m:t>
            </m:r>
          </m:e>
        </m:acc>
      </m:oMath>
      <w:r>
        <w:t xml:space="preserve">)</w:t>
      </w:r>
      <w:r>
        <w:t xml:space="preserve"> </w:t>
      </w:r>
      <w:r>
        <w:t xml:space="preserve">varies across phases of internationalisation and institutional transition. Any moderation of the export-intensity curve by foundational digital adoption is therefore</w:t>
      </w:r>
      <w:r>
        <w:t xml:space="preserve"> </w:t>
      </w:r>
      <w:r>
        <w:t xml:space="preserve">expected to be wave-specific rather than uniformly present across periods, with the</w:t>
      </w:r>
      <w:r>
        <w:t xml:space="preserve"> </w:t>
      </w:r>
      <w:r>
        <w:t xml:space="preserve">strongest within-sample detectability anticipated in 2023.</w:t>
      </w:r>
    </w:p>
    <w:p>
      <w:pPr>
        <w:pStyle w:val="BodyText"/>
      </w:pPr>
      <w:r>
        <w:t xml:space="preserve">Technological</w:t>
      </w:r>
      <w:r>
        <w:t xml:space="preserve"> </w:t>
      </w:r>
      <w:r>
        <w:t xml:space="preserve">Capability (</w:t>
      </w:r>
      <m:oMath>
        <m:acc>
          <m:accPr>
            <m:chr m:val="̃"/>
          </m:accPr>
          <m:e>
            <m:r>
              <m:rPr>
                <m:sty m:val="p"/>
              </m:rPr>
              <m:t>T</m:t>
            </m:r>
            <m:r>
              <m:rPr>
                <m:sty m:val="p"/>
              </m:rPr>
              <m:t>C</m:t>
            </m:r>
            <m:r>
              <m:rPr>
                <m:sty m:val="p"/>
              </m:rPr>
              <m:t>I</m:t>
            </m:r>
          </m:e>
        </m:acc>
      </m:oMath>
      <w:r>
        <w:t xml:space="preserve">)</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w:t>
      </w:r>
      <m:oMath>
        <m:sSup>
          <m:e>
            <m:r>
              <m:rPr>
                <m:sty m:val="p"/>
              </m:rPr>
              <m:t>F</m:t>
            </m:r>
            <m:r>
              <m:rPr>
                <m:sty m:val="p"/>
              </m:rPr>
              <m:t>S</m:t>
            </m:r>
            <m:r>
              <m:rPr>
                <m:sty m:val="p"/>
              </m:rPr>
              <m:t>T</m:t>
            </m:r>
            <m:r>
              <m:rPr>
                <m:sty m:val="p"/>
              </m:rPr>
              <m:t>S</m:t>
            </m:r>
          </m:e>
          <m:sup>
            <m:r>
              <m:t>c</m:t>
            </m:r>
          </m:sup>
        </m:sSup>
      </m:oMath>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w:r>
        <w:t xml:space="preserve">(ln labour productivity)</w:t>
      </w:r>
      <w:r>
        <w:t xml:space="preserve"> </w:t>
      </w:r>
      <w:r>
        <w:t xml:space="preserve">H4 (mod., exploratory)</w:t>
      </w:r>
      <w:r>
        <w:t xml:space="preserve"> </w:t>
      </w:r>
      <w:r>
        <w:t xml:space="preserve">H3</w:t>
      </w:r>
    </w:p>
    <w:p>
      <w:pPr>
        <w:pStyle w:val="BodyText"/>
      </w:pPr>
      <w:r>
        <w:t xml:space="preserve">Foundational</w:t>
      </w:r>
      <w:r>
        <w:t xml:space="preserve"> </w:t>
      </w:r>
      <w:r>
        <w:t xml:space="preserve">Digital Adoption (</w:t>
      </w:r>
      <m:oMath>
        <m:acc>
          <m:accPr>
            <m:chr m:val="̃"/>
          </m:accPr>
          <m:e>
            <m:r>
              <m:rPr>
                <m:sty m:val="p"/>
              </m:rPr>
              <m:t>D</m:t>
            </m:r>
            <m:r>
              <m:rPr>
                <m:sty m:val="p"/>
              </m:rPr>
              <m:t>A</m:t>
            </m:r>
            <m:r>
              <m:rPr>
                <m:sty m:val="p"/>
              </m:rPr>
              <m:t>I</m:t>
            </m:r>
          </m:e>
        </m:acc>
      </m:oMath>
      <w:r>
        <w:t xml:space="preserve">)</w:t>
      </w:r>
    </w:p>
    <w:p>
      <w:pPr>
        <w:pStyle w:val="BodyText"/>
      </w:pPr>
      <w:r>
        <w:t xml:space="preserve">Controls:</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sector FE [+ wave FE]</w:t>
      </w:r>
    </w:p>
    <w:p>
      <w:pPr>
        <w:pStyle w:val="BodyText"/>
      </w:pPr>
      <w:r>
        <w:t xml:space="preserve">Figure 1: Conceptual model. TCI, DAI, and export intensity as determinants of firm performance (Vietnam, 3-wave)</w:t>
      </w:r>
    </w:p>
    <w:p>
      <w:pPr>
        <w:pStyle w:val="BodyText"/>
      </w:pPr>
      <w:r>
        <w:rPr>
          <w:iCs/>
          <w:i/>
        </w:rPr>
        <w:t xml:space="preserve">Figure 1.</w:t>
      </w:r>
      <w:r>
        <w:t xml:space="preserve"> </w:t>
      </w:r>
      <w:r>
        <w:t xml:space="preserve">Conceptual model. The independent variable (internationalisation,</w:t>
      </w:r>
      <w:r>
        <w:t xml:space="preserve"> </w:t>
      </w:r>
      <m:oMath>
        <m:sSup>
          <m:e>
            <m:r>
              <m:rPr>
                <m:sty m:val="p"/>
              </m:rPr>
              <m:t>F</m:t>
            </m:r>
            <m:r>
              <m:rPr>
                <m:sty m:val="p"/>
              </m:rPr>
              <m:t>S</m:t>
            </m:r>
            <m:r>
              <m:rPr>
                <m:sty m:val="p"/>
              </m:rPr>
              <m:t>T</m:t>
            </m:r>
            <m:r>
              <m:rPr>
                <m:sty m:val="p"/>
              </m:rPr>
              <m:t>S</m:t>
            </m:r>
          </m:e>
          <m:sup>
            <m:r>
              <m:t>c</m:t>
            </m:r>
          </m:sup>
        </m:sSup>
      </m:oMath>
      <w:r>
        <w:t xml:space="preserve"> </w:t>
      </w:r>
      <w:r>
        <w:t xml:space="preserve">and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and the dependent variable (firm performance, ln labour productivity) anchor the IV–DV spine. Technological capability (</w:t>
      </w:r>
      <m:oMath>
        <m:acc>
          <m:accPr>
            <m:chr m:val="̃"/>
          </m:accPr>
          <m:e>
            <m:r>
              <m:rPr>
                <m:sty m:val="p"/>
              </m:rPr>
              <m:t>T</m:t>
            </m:r>
            <m:r>
              <m:rPr>
                <m:sty m:val="p"/>
              </m:rPr>
              <m:t>C</m:t>
            </m:r>
            <m:r>
              <m:rPr>
                <m:sty m:val="p"/>
              </m:rPr>
              <m:t>I</m:t>
            </m:r>
          </m:e>
        </m:acc>
      </m:oMath>
      <w:r>
        <w:t xml:space="preserve">) and foundational digital adoption (</w:t>
      </w:r>
      <m:oMath>
        <m:acc>
          <m:accPr>
            <m:chr m:val="̃"/>
          </m:accPr>
          <m:e>
            <m:r>
              <m:rPr>
                <m:sty m:val="p"/>
              </m:rPr>
              <m:t>D</m:t>
            </m:r>
            <m:r>
              <m:rPr>
                <m:sty m:val="p"/>
              </m:rPr>
              <m:t>A</m:t>
            </m:r>
            <m:r>
              <m:rPr>
                <m:sty m:val="p"/>
              </m:rPr>
              <m:t>I</m:t>
            </m:r>
          </m:e>
        </m:acc>
      </m:oMath>
      <w:r>
        <w:t xml:space="preserve">) act as direct effects (H2, H3) and as moderators of the FSTS curve (H2 moderation, H4 exploratory moderation). Controls are entered additively. Wave fixed effects apply to the pooled specification only.</w:t>
      </w:r>
    </w:p>
    <w:bookmarkEnd w:id="30"/>
    <w:bookmarkEnd w:id="31"/>
    <w:bookmarkStart w:id="36" w:name="Xfd2f05febb90fd7f58b14547dd9b33901f267a5"/>
    <w:p>
      <w:pPr>
        <w:pStyle w:val="Heading2"/>
      </w:pPr>
      <w:r>
        <w:t xml:space="preserve">3. Data, variables, and empirical strategy</w:t>
      </w:r>
    </w:p>
    <w:bookmarkStart w:id="32"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2"/>
    <w:bookmarkStart w:id="33" w:name="Xbcf9f12e79107fa2c089aaf13fc6c4fb773f1c2"/>
    <w:p>
      <w:pPr>
        <w:pStyle w:val="Heading3"/>
      </w:pPr>
      <w:r>
        <w:t xml:space="preserve">3.2 Variables</w:t>
      </w:r>
    </w:p>
    <w:p>
      <w:pPr>
        <w:pStyle w:val="FirstParagraph"/>
      </w:pPr>
      <w:r>
        <w:t xml:space="preserve">Firm performance is measured by log labour productivity (</w:t>
      </w:r>
      <m:oMath>
        <m:r>
          <m:rPr>
            <m:sty m:val="p"/>
          </m:rPr>
          <m:t>ln</m:t>
        </m:r>
        <m:d>
          <m:dPr>
            <m:begChr m:val="("/>
            <m:endChr m:val=")"/>
            <m:sepChr m:val=""/>
            <m:grow/>
          </m:dPr>
          <m:e>
            <m:r>
              <m:rPr>
                <m:sty m:val="p"/>
              </m:rPr>
              <m:t>L</m:t>
            </m:r>
            <m:r>
              <m:rPr>
                <m:sty m:val="p"/>
              </m:rPr>
              <m:t>P</m:t>
            </m:r>
          </m:e>
        </m:d>
      </m:oMath>
      <w:r>
        <w:t xml:space="preserve">). Internationalisation is measured by direct-export intensity (FSTS), mean-centred within wave (</w:t>
      </w:r>
      <m:oMath>
        <m:sSup>
          <m:e>
            <m:r>
              <m:rPr>
                <m:sty m:val="p"/>
              </m:rPr>
              <m:t>F</m:t>
            </m:r>
            <m:r>
              <m:rPr>
                <m:sty m:val="p"/>
              </m:rPr>
              <m:t>S</m:t>
            </m:r>
            <m:r>
              <m:rPr>
                <m:sty m:val="p"/>
              </m:rPr>
              <m:t>T</m:t>
            </m:r>
            <m:r>
              <m:rPr>
                <m:sty m:val="p"/>
              </m:rPr>
              <m:t>S</m:t>
            </m:r>
          </m:e>
          <m:sup>
            <m:r>
              <m:t>c</m:t>
            </m:r>
          </m:sup>
        </m:sSup>
      </m:oMath>
      <w:r>
        <w:t xml:space="preserve">) and squared</w:t>
      </w:r>
    </w:p>
    <w:p>
      <w:pPr>
        <w:pStyle w:val="BodyText"/>
      </w:pPr>
      <w:r>
        <w:t xml:space="preserve">(</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so that linear and quadratic terms can be entered jointly to test for nonlinearity.</w:t>
      </w:r>
      <w:r>
        <w:t xml:space="preserve"> </w:t>
      </w:r>
      <w:r>
        <w:t xml:space="preserve">The analysis uses two distinct capability constructs.</w:t>
      </w:r>
    </w:p>
    <w:p>
      <w:pPr>
        <w:pStyle w:val="BodyText"/>
      </w:pPr>
      <w:r>
        <w:t xml:space="preserve">The Technological Capability Index</w:t>
      </w:r>
    </w:p>
    <w:p>
      <w:pPr>
        <w:pStyle w:val="BodyText"/>
      </w:pPr>
      <w:r>
        <w:t xml:space="preserve">(</w:t>
      </w:r>
      <m:oMath>
        <m:acc>
          <m:accPr>
            <m:chr m:val="̃"/>
          </m:accPr>
          <m:e>
            <m:r>
              <m:rPr>
                <m:sty m:val="p"/>
              </m:rPr>
              <m:t>T</m:t>
            </m:r>
            <m:r>
              <m:rPr>
                <m:sty m:val="p"/>
              </m:rPr>
              <m:t>C</m:t>
            </m:r>
            <m:r>
              <m:rPr>
                <m:sty m:val="p"/>
              </m:rPr>
              <m:t>I</m:t>
            </m:r>
          </m:e>
        </m:acc>
      </m:oMath>
      <w:r>
        <w:t xml:space="preserve">) is interpreted narrowly as a foreign-technology and standards capability measure, 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w:t>
      </w:r>
      <m:oMath>
        <m:acc>
          <m:accPr>
            <m:chr m:val="̃"/>
          </m:accPr>
          <m:e>
            <m:r>
              <m:rPr>
                <m:sty m:val="p"/>
              </m:rPr>
              <m:t>D</m:t>
            </m:r>
            <m:r>
              <m:rPr>
                <m:sty m:val="p"/>
              </m:rPr>
              <m:t>A</m:t>
            </m:r>
            <m:r>
              <m:rPr>
                <m:sty m:val="p"/>
              </m:rPr>
              <m:t>I</m:t>
            </m:r>
          </m:e>
        </m:acc>
      </m:oMath>
      <w:r>
        <w:t xml:space="preserve">)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 so that the reported coefficients are comparable in standard-deviation units; the tilde notation</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marks the standardised variant used throughout the empirical specifications.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w:t>
      </w:r>
      <w:r>
        <w:t xml:space="preserve"> </w:t>
      </w:r>
      <w:r>
        <w:t xml:space="preserve">annual sales and l1 is permanent full-time employees. Internationalisation is FSTS = d3c / 100,</w:t>
      </w:r>
    </w:p>
    <w:p>
      <w:pPr>
        <w:pStyle w:val="BodyText"/>
      </w:pPr>
      <w:r>
        <w:t xml:space="preserve">mean-centred within wave (</w:t>
      </w:r>
      <m:oMath>
        <m:sSup>
          <m:e>
            <m:r>
              <m:rPr>
                <m:sty m:val="p"/>
              </m:rPr>
              <m:t>F</m:t>
            </m:r>
            <m:r>
              <m:rPr>
                <m:sty m:val="p"/>
              </m:rPr>
              <m:t>S</m:t>
            </m:r>
            <m:r>
              <m:rPr>
                <m:sty m:val="p"/>
              </m:rPr>
              <m:t>T</m:t>
            </m:r>
            <m:r>
              <m:rPr>
                <m:sty m:val="p"/>
              </m:rPr>
              <m:t>S</m:t>
            </m:r>
          </m:e>
          <m:sup>
            <m:r>
              <m:t>c</m:t>
            </m:r>
          </m:sup>
        </m:sSup>
      </m:oMath>
      <w:r>
        <w:t xml:space="preserve">) and squared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The primary Technological Capability Index (</w:t>
      </w:r>
      <m:oMath>
        <m:acc>
          <m:accPr>
            <m:chr m:val="̃"/>
          </m:accPr>
          <m:e>
            <m:r>
              <m:rPr>
                <m:sty m:val="p"/>
              </m:rPr>
              <m:t>T</m:t>
            </m:r>
            <m:r>
              <m:rPr>
                <m:sty m:val="p"/>
              </m:rPr>
              <m:t>C</m:t>
            </m:r>
            <m:r>
              <m:rPr>
                <m:sty m:val="p"/>
              </m:rPr>
              <m:t>I</m:t>
            </m:r>
          </m:e>
        </m:acc>
      </m:oMath>
      <w:r>
        <w:t xml:space="preserve">)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w:t>
      </w:r>
      <m:oMath>
        <m:acc>
          <m:accPr>
            <m:chr m:val="̃"/>
          </m:accPr>
          <m:e>
            <m:r>
              <m:rPr>
                <m:sty m:val="p"/>
              </m:rPr>
              <m:t>D</m:t>
            </m:r>
            <m:r>
              <m:rPr>
                <m:sty m:val="p"/>
              </m:rPr>
              <m:t>A</m:t>
            </m:r>
            <m:r>
              <m:rPr>
                <m:sty m:val="p"/>
              </m:rPr>
              <m:t>I</m:t>
            </m:r>
          </m:e>
        </m:acc>
      </m:oMath>
      <w:r>
        <w:t xml:space="preserve">) is the within-wave standardised</w:t>
      </w:r>
    </w:p>
    <w:p>
      <w:pPr>
        <w:pStyle w:val="BodyText"/>
      </w:pPr>
      <w:r>
        <w:t xml:space="preserve">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w:t>
      </w:r>
      <w:r>
        <w:t xml:space="preserve"> </w:t>
      </w:r>
      <m:oMath>
        <m:acc>
          <m:accPr>
            <m:chr m:val="̃"/>
          </m:accPr>
          <m:e>
            <m:r>
              <m:rPr>
                <m:sty m:val="p"/>
              </m:rPr>
              <m:t>D</m:t>
            </m:r>
            <m:r>
              <m:rPr>
                <m:sty m:val="p"/>
              </m:rPr>
              <m:t>A</m:t>
            </m:r>
            <m:r>
              <m:rPr>
                <m:sty m:val="p"/>
              </m:rPr>
              <m:t>I</m:t>
            </m:r>
          </m:e>
        </m:acc>
      </m:oMath>
      <w:r>
        <w:t xml:space="preserve"> </w:t>
      </w:r>
      <w:r>
        <w:t xml:space="preserve">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m:oMath>
        <m:sSub>
          <m:e>
            <m:r>
              <m:rPr>
                <m:sty m:val="p"/>
              </m:rPr>
              <m:t>T</m:t>
            </m:r>
            <m:r>
              <m:rPr>
                <m:sty m:val="p"/>
              </m:rPr>
              <m:t>C</m:t>
            </m:r>
            <m:r>
              <m:rPr>
                <m:sty m:val="p"/>
              </m:rPr>
              <m:t>I</m:t>
            </m:r>
          </m:e>
          <m:sub>
            <m:r>
              <m:rPr>
                <m:nor/>
                <m:sty m:val="p"/>
              </m:rPr>
              <m:t>full</m:t>
            </m:r>
          </m:sub>
        </m:sSub>
      </m:oMath>
      <w:r>
        <w:t xml:space="preserve"> </w:t>
      </w:r>
      <w:r>
        <w:t xml:space="preserve">adds h1 (introduced new or significantly improved product) and h8 (R&amp;D expenditure</w:t>
      </w:r>
      <w:r>
        <w:t xml:space="preserve"> </w:t>
      </w:r>
      <w:r>
        <w:t xml:space="preserve">indicator) to the TCI items in 2015 and 2023, where h1 and h8 are present.</w:t>
      </w:r>
      <w:r>
        <w:t xml:space="preserve"> </w:t>
      </w:r>
      <m:oMath>
        <m:sSub>
          <m:e>
            <m:r>
              <m:rPr>
                <m:sty m:val="p"/>
              </m:rPr>
              <m:t>D</m:t>
            </m:r>
            <m:r>
              <m:rPr>
                <m:sty m:val="p"/>
              </m:rPr>
              <m:t>A</m:t>
            </m:r>
            <m:r>
              <m:rPr>
                <m:sty m:val="p"/>
              </m:rPr>
              <m:t>I</m:t>
            </m:r>
          </m:e>
          <m:sub>
            <m:r>
              <m:rPr>
                <m:nor/>
                <m:sty m:val="p"/>
              </m:rPr>
              <m:t>rich</m:t>
            </m:r>
          </m:sub>
        </m:sSub>
      </m:oMath>
      <w:r>
        <w:t xml:space="preserve">,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w:t>
      </w:r>
      <w:r>
        <w:t xml:space="preserve"> </w:t>
      </w:r>
      <m:oMath>
        <m:sSub>
          <m:e>
            <m:r>
              <m:rPr>
                <m:sty m:val="p"/>
              </m:rPr>
              <m:t>D</m:t>
            </m:r>
            <m:r>
              <m:rPr>
                <m:sty m:val="p"/>
              </m:rPr>
              <m:t>A</m:t>
            </m:r>
            <m:r>
              <m:rPr>
                <m:sty m:val="p"/>
              </m:rPr>
              <m:t>I</m:t>
            </m:r>
          </m:e>
          <m:sub>
            <m:r>
              <m:rPr>
                <m:nor/>
                <m:sty m:val="p"/>
              </m:rPr>
              <m:t>rich</m:t>
            </m:r>
          </m:sub>
        </m:sSub>
      </m:oMath>
      <w:r>
        <w:t xml:space="preserve"> </w:t>
      </w:r>
      <w:r>
        <w:t xml:space="preserve">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comparability note.</w:t>
      </w:r>
      <w:r>
        <w:t xml:space="preserve"> </w:t>
      </w:r>
      <w:r>
        <w:t xml:space="preserve">The</w:t>
      </w:r>
      <w:r>
        <w:t xml:space="preserve"> </w:t>
      </w:r>
      <m:oMath>
        <m:acc>
          <m:accPr>
            <m:chr m:val="̃"/>
          </m:accPr>
          <m:e>
            <m:r>
              <m:rPr>
                <m:sty m:val="p"/>
              </m:rPr>
              <m:t>D</m:t>
            </m:r>
            <m:r>
              <m:rPr>
                <m:sty m:val="p"/>
              </m:rPr>
              <m:t>A</m:t>
            </m:r>
            <m:r>
              <m:rPr>
                <m:sty m:val="p"/>
              </m:rPr>
              <m:t>I</m:t>
            </m:r>
          </m:e>
        </m:acc>
      </m:oMath>
      <w:r>
        <w:t xml:space="preserve"> </w:t>
      </w:r>
      <w:r>
        <w:t xml:space="preserve">construct in this paper is a Tier 1-only indicator (website binary c22b). A richer Tier 1+2 composite, combining website presence with electronic payment intensity (k33/k38), would in principle capture transaction-enabling mechanisms that scale with cross-border coordination demands, but k33 and k38 are unavailable in the 2009 and 2015 waves of WBES Vietnam, precluding a cross-wave Tier 1+2 specification. The negative Tier 1-only interaction documented here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is therefore interpreted as construct-tier obsolescence: Tier 1 website presence has become a minimum-threshold credential in Vietnam's maturing digital environment and no longer differentiates firms' cross-border coordination capacity at high export intensity. The</w:t>
      </w:r>
      <w:r>
        <w:t xml:space="preserve"> </w:t>
      </w:r>
      <m:oMath>
        <m:sSub>
          <m:e>
            <m:r>
              <m:rPr>
                <m:sty m:val="p"/>
              </m:rPr>
              <m:t>D</m:t>
            </m:r>
            <m:r>
              <m:rPr>
                <m:sty m:val="p"/>
              </m:rPr>
              <m:t>A</m:t>
            </m:r>
            <m:r>
              <m:rPr>
                <m:sty m:val="p"/>
              </m:rPr>
              <m:t>I</m:t>
            </m:r>
          </m:e>
          <m:sub>
            <m:r>
              <m:rPr>
                <m:nor/>
                <m:sty m:val="p"/>
              </m:rPr>
              <m:t>rich</m:t>
            </m:r>
          </m:sub>
        </m:sSub>
      </m:oMath>
      <w:r>
        <w:t xml:space="preserve"> </w:t>
      </w:r>
      <w:r>
        <w:t xml:space="preserve">robustness composite available in the 2023 wave partially bridges this gap for within-wave sensitivity analysis, but cross-wave comparability limits its use as the primary measure.</w:t>
      </w:r>
    </w:p>
    <w:p>
      <w:pPr>
        <w:pStyle w:val="BodyText"/>
      </w:pPr>
      <w:r>
        <w:t xml:space="preserve">Controls are standard. Firm size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ln(l1). Firm age FirmAge = survey year minus</w:t>
      </w:r>
      <w:r>
        <w:t xml:space="preserve"> </w:t>
      </w:r>
      <w:r>
        <w:t xml:space="preserve">b5 (year established). Foreign ownership ForeignOwned = 1 if b2b (percentage of equity owned</w:t>
      </w:r>
      <w:r>
        <w:t xml:space="preserve"> </w:t>
      </w:r>
      <w:r>
        <w:t xml:space="preserve">by private foreign individuals or firms) &gt; 0. Sector fixed effects use the first digit of a4b (broad</w:t>
      </w:r>
      <w:r>
        <w:t xml:space="preserve"> </w:t>
      </w:r>
      <w:r>
        <w:t xml:space="preserve">ISIC code) for the 2009 and 2015 waves and the first digit of a4a for the 2023 wave, where a4b</w:t>
      </w:r>
      <w:r>
        <w:t xml:space="preserve"> </w:t>
      </w:r>
      <w:r>
        <w:t xml:space="preserve">is not in the public release. Pooled specifications add wave fixed effects to absorb broad period</w:t>
      </w:r>
      <w:r>
        <w:t xml:space="preserve"> </w:t>
      </w:r>
      <w:r>
        <w:t xml:space="preserve">differences in the productivity baseline.</w:t>
      </w:r>
      <w:r>
        <w:t xml:space="preserve"> </w:t>
      </w:r>
      <w:r>
        <w:t xml:space="preserve">A note on missing-code handling.</w:t>
      </w:r>
    </w:p>
    <w:p>
      <w:pPr>
        <w:pStyle w:val="BodyText"/>
      </w:pPr>
      <w:r>
        <w:t xml:space="preserve">The WBES instrument codes don't-know and refused</w:t>
      </w:r>
    </w:p>
    <w:p>
      <w:pPr>
        <w:pStyle w:val="BodyText"/>
      </w:pPr>
      <w:r>
        <w:t xml:space="preserve">responses as -9. We treat -9 as missing before any composite is built and apply listwise deletion</w:t>
      </w:r>
      <w:r>
        <w:t xml:space="preserve"> </w:t>
      </w:r>
      <w:r>
        <w:t xml:space="preserve">on the focal variable set (</w:t>
      </w:r>
      <m:oMath>
        <m:r>
          <m:rPr>
            <m:sty m:val="p"/>
          </m:rPr>
          <m:t>ln</m:t>
        </m:r>
        <m:d>
          <m:dPr>
            <m:begChr m:val="("/>
            <m:endChr m:val=")"/>
            <m:sepChr m:val=""/>
            <m:grow/>
          </m:dPr>
          <m:e>
            <m:r>
              <m:rPr>
                <m:sty m:val="p"/>
              </m:rPr>
              <m:t>L</m:t>
            </m:r>
            <m:r>
              <m:rPr>
                <m:sty m:val="p"/>
              </m:rPr>
              <m:t>P</m:t>
            </m:r>
          </m:e>
        </m:d>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FSTS,</w:t>
      </w:r>
      <w:r>
        <w:t xml:space="preserve"> </w:t>
      </w:r>
      <m:oMath>
        <m:sSub>
          <m:e>
            <m:r>
              <m:rPr>
                <m:sty m:val="p"/>
              </m:rPr>
              <m:t>T</m:t>
            </m:r>
            <m:r>
              <m:rPr>
                <m:sty m:val="p"/>
              </m:rPr>
              <m:t>C</m:t>
            </m:r>
            <m:r>
              <m:rPr>
                <m:sty m:val="p"/>
              </m:rPr>
              <m:t>I</m:t>
            </m:r>
          </m:e>
          <m:sub>
            <m:r>
              <m:rPr>
                <m:nor/>
                <m:sty m:val="p"/>
              </m:rPr>
              <m:t>thin</m:t>
            </m:r>
          </m:sub>
        </m:sSub>
      </m:oMath>
      <w:r>
        <w:t xml:space="preserve">,</w:t>
      </w:r>
      <w:r>
        <w:t xml:space="preserve"> </w:t>
      </w:r>
      <m:oMath>
        <m:sSub>
          <m:e>
            <m:r>
              <m:rPr>
                <m:sty m:val="p"/>
              </m:rPr>
              <m:t>D</m:t>
            </m:r>
            <m:r>
              <m:rPr>
                <m:sty m:val="p"/>
              </m:rPr>
              <m:t>A</m:t>
            </m:r>
            <m:r>
              <m:rPr>
                <m:sty m:val="p"/>
              </m:rPr>
              <m:t>I</m:t>
            </m:r>
          </m:e>
          <m:sub>
            <m:r>
              <m:rPr>
                <m:nor/>
                <m:sty m:val="p"/>
              </m:rPr>
              <m:t>thin</m:t>
            </m:r>
          </m:sub>
        </m:sSub>
      </m:oMath>
      <w:r>
        <w:t xml:space="preserve">,</w:t>
      </w:r>
      <w:r>
        <w:t xml:space="preserve"> </w:t>
      </w:r>
      <w:r>
        <w:t xml:space="preserve">sector1). The resulting analytic samples are 989, 956, and 1,013 observations for 2009, 2015,</w:t>
      </w:r>
      <w:r>
        <w:t xml:space="preserve"> </w:t>
      </w:r>
      <w:r>
        <w:t xml:space="preserve">and 2023 respectively; pooled N is 2,958.</w:t>
      </w:r>
    </w:p>
    <w:bookmarkEnd w:id="33"/>
    <w:bookmarkStart w:id="34" w:name="Xc5fe1f3cf583535f12a87a680dcd317400b3da2"/>
    <w:p>
      <w:pPr>
        <w:pStyle w:val="Heading3"/>
      </w:pPr>
      <w:r>
        <w:t xml:space="preserve">3.3 Model sequence</w:t>
      </w:r>
    </w:p>
    <w:p>
      <w:pPr>
        <w:pStyle w:val="FirstParagraph"/>
      </w:pPr>
      <w:r>
        <w:t xml:space="preserve">The empirical strategy follows a nested sequence of OLS models estimated with HC1 heteroscedasticity-robust standard errors (MacKinnon &amp; White, 1985). The full specification of interest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e>
            </m:mr>
            <m:mr>
              <m:e/>
              <m:e>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acc>
                          <m:accPr>
                            <m:chr m:val="̃"/>
                          </m:accPr>
                          <m:e>
                            <m:r>
                              <m:rPr>
                                <m:sty m:val="p"/>
                              </m:rPr>
                              <m:t>D</m:t>
                            </m:r>
                            <m:r>
                              <m:rPr>
                                <m:sty m:val="p"/>
                              </m:rPr>
                              <m:t>A</m:t>
                            </m:r>
                            <m:r>
                              <m:rPr>
                                <m:sty m:val="p"/>
                              </m:rPr>
                              <m:t>I</m:t>
                            </m:r>
                          </m:e>
                        </m:acc>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acc>
                          <m:accPr>
                            <m:chr m:val="̃"/>
                          </m:accPr>
                          <m:e>
                            <m:r>
                              <m:rPr>
                                <m:sty m:val="p"/>
                              </m:rPr>
                              <m:t>D</m:t>
                            </m:r>
                            <m:r>
                              <m:rPr>
                                <m:sty m:val="p"/>
                              </m:rPr>
                              <m:t>A</m:t>
                            </m:r>
                            <m:r>
                              <m:rPr>
                                <m:sty m:val="p"/>
                              </m:rPr>
                              <m:t>I</m:t>
                            </m:r>
                          </m:e>
                        </m:acc>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r>
                  <m:rPr>
                    <m:sty m:val="p"/>
                  </m:rPr>
                  <m:t>,</m:t>
                </m:r>
              </m:e>
            </m:mr>
          </m:m>
        </m:oMath>
      </m:oMathPara>
    </w:p>
    <w:p>
      <w:pPr>
        <w:pStyle w:val="FirstParagraph"/>
      </w:pPr>
      <w:r>
        <w:t xml:space="preserve">where</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is wave-centred export intensity,</w:t>
      </w:r>
      <w:r>
        <w:t xml:space="preserve"> </w:t>
      </w:r>
      <m:oMath>
        <m:sSub>
          <m:e>
            <m:r>
              <m:rPr>
                <m:sty m:val="b"/>
              </m:rPr>
              <m:t>x</m:t>
            </m:r>
          </m:e>
          <m:sub>
            <m:r>
              <m:t>i</m:t>
            </m:r>
          </m:sub>
        </m:sSub>
      </m:oMath>
      <w:r>
        <w:t xml:space="preserve"> </w:t>
      </w:r>
      <w:r>
        <w:t xml:space="preserve">collects firm-level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O</m:t>
            </m:r>
            <m:r>
              <m:rPr>
                <m:sty m:val="p"/>
              </m:rPr>
              <m:t>w</m:t>
            </m:r>
            <m:r>
              <m:rPr>
                <m:sty m:val="p"/>
              </m:rPr>
              <m:t>n</m:t>
            </m:r>
            <m:r>
              <m:rPr>
                <m:sty m:val="p"/>
              </m:rPr>
              <m:t>e</m:t>
            </m:r>
            <m:r>
              <m:rPr>
                <m:sty m:val="p"/>
              </m:rPr>
              <m:t>d</m:t>
            </m:r>
          </m:e>
          <m:sub>
            <m:r>
              <m:t>i</m:t>
            </m:r>
          </m:sub>
        </m:sSub>
        <m:r>
          <m:rPr>
            <m:sty m:val="p"/>
          </m:rPr>
          <m:t>}</m:t>
        </m:r>
      </m:oMath>
      <w:r>
        <w:t xml:space="preserve">,</w:t>
      </w:r>
      <w:r>
        <w:t xml:space="preserve"> </w:t>
      </w:r>
      <m:oMath>
        <m:sSub>
          <m:e>
            <m:r>
              <m:t>δ</m:t>
            </m:r>
          </m:e>
          <m:sub>
            <m:r>
              <m:t>s</m:t>
            </m:r>
          </m:sub>
        </m:sSub>
      </m:oMath>
      <w:r>
        <w:t xml:space="preserve"> </w:t>
      </w:r>
      <w:r>
        <w:t xml:space="preserve">is a one-digit ISIC sector fixed effect, and</w:t>
      </w:r>
      <w:r>
        <w:t xml:space="preserve"> </w:t>
      </w:r>
      <m:oMath>
        <m:sSub>
          <m:e>
            <m:r>
              <m:t>λ</m:t>
            </m:r>
          </m:e>
          <m:sub>
            <m:r>
              <m:t>w</m:t>
            </m:r>
          </m:sub>
        </m:sSub>
      </m:oMath>
      <w:r>
        <w:t xml:space="preserve"> </w:t>
      </w:r>
      <w:r>
        <w:t xml:space="preserve">is a wave fixed effect applied only in the pooled specification. The implied turning point of the inverted-U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when</w:t>
      </w:r>
      <w:r>
        <w:t xml:space="preserve"> </w:t>
      </w:r>
      <m:oMath>
        <m:sSub>
          <m:e>
            <m:acc>
              <m:accPr>
                <m:chr m:val="̂"/>
              </m:accPr>
              <m:e>
                <m:r>
                  <m:t>β</m:t>
                </m:r>
              </m:e>
            </m:acc>
          </m:e>
          <m:sub>
            <m:r>
              <m:t>2</m:t>
            </m:r>
          </m:sub>
        </m:sSub>
        <m:r>
          <m:rPr>
            <m:sty m:val="p"/>
          </m:rPr>
          <m:t>&lt;</m:t>
        </m:r>
        <m:r>
          <m:t>0</m:t>
        </m:r>
      </m:oMath>
      <w:r>
        <w:t xml:space="preserve"> </w:t>
      </w:r>
      <w:r>
        <w:t xml:space="preserve">(Haans, Pieters, &amp; He, 2016).</w:t>
      </w:r>
    </w:p>
    <w:p>
      <w:pPr>
        <w:pStyle w:val="BodyText"/>
      </w:pPr>
      <w:r>
        <w:t xml:space="preserve">Nested specifications are estimated to disentangle direct from contingent associations:</w:t>
      </w:r>
    </w:p>
    <w:p>
      <w:pPr>
        <w:numPr>
          <w:ilvl w:val="0"/>
          <w:numId w:val="1001"/>
        </w:numPr>
        <w:pStyle w:val="Compact"/>
      </w:pPr>
      <w:r>
        <w:rPr>
          <w:bCs/>
          <w:b/>
        </w:rPr>
        <w:t xml:space="preserve">M0</w:t>
      </w:r>
      <w:r>
        <w:t xml:space="preserve"> </w:t>
      </w:r>
      <w:r>
        <w:t xml:space="preserve">(controls only):</w:t>
      </w:r>
      <w:r>
        <w:t xml:space="preserve"> </w:t>
      </w: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oMath>
      <w:r>
        <w:t xml:space="preserve">;</w:t>
      </w:r>
    </w:p>
    <w:p>
      <w:pPr>
        <w:numPr>
          <w:ilvl w:val="0"/>
          <w:numId w:val="1001"/>
        </w:numPr>
        <w:pStyle w:val="Compact"/>
      </w:pPr>
      <w:r>
        <w:rPr>
          <w:bCs/>
          <w:b/>
        </w:rPr>
        <w:t xml:space="preserve">M1</w:t>
      </w:r>
      <w:r>
        <w:t xml:space="preserve"> </w:t>
      </w:r>
      <w:r>
        <w:t xml:space="preserve">(linear FSTS): adds</w:t>
      </w:r>
      <w:r>
        <w:t xml:space="preserve"> </w:t>
      </w:r>
      <m:oMath>
        <m:sSub>
          <m:e>
            <m:r>
              <m:t>β</m:t>
            </m:r>
          </m:e>
          <m:sub>
            <m:r>
              <m:t>1</m:t>
            </m:r>
          </m:sub>
        </m:sSub>
        <m:r>
          <m:t> </m:t>
        </m:r>
        <m:sSubSup>
          <m:e>
            <m:r>
              <m:rPr>
                <m:sty m:val="p"/>
              </m:rPr>
              <m:t>F</m:t>
            </m:r>
            <m:r>
              <m:rPr>
                <m:sty m:val="p"/>
              </m:rPr>
              <m:t>S</m:t>
            </m:r>
            <m:r>
              <m:rPr>
                <m:sty m:val="p"/>
              </m:rPr>
              <m:t>T</m:t>
            </m:r>
            <m:r>
              <m:rPr>
                <m:sty m:val="p"/>
              </m:rPr>
              <m:t>S</m:t>
            </m:r>
          </m:e>
          <m:sub>
            <m:r>
              <m:t>i</m:t>
            </m:r>
          </m:sub>
          <m:sup>
            <m:r>
              <m:t>c</m:t>
            </m:r>
          </m:sup>
        </m:sSubSup>
      </m:oMath>
      <w:r>
        <w:t xml:space="preserve">;</w:t>
      </w:r>
    </w:p>
    <w:p>
      <w:pPr>
        <w:numPr>
          <w:ilvl w:val="0"/>
          <w:numId w:val="1001"/>
        </w:numPr>
        <w:pStyle w:val="Compact"/>
      </w:pPr>
      <w:r>
        <w:rPr>
          <w:bCs/>
          <w:b/>
        </w:rPr>
        <w:t xml:space="preserve">M2</w:t>
      </w:r>
      <w:r>
        <w:t xml:space="preserve"> </w:t>
      </w:r>
      <w:r>
        <w:t xml:space="preserve">(inverted-U): adds</w:t>
      </w:r>
      <w:r>
        <w:t xml:space="preserve"> </w:t>
      </w:r>
      <m:oMath>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oMath>
      <w:r>
        <w:t xml:space="preserve">;</w:t>
      </w:r>
    </w:p>
    <w:p>
      <w:pPr>
        <w:numPr>
          <w:ilvl w:val="0"/>
          <w:numId w:val="1001"/>
        </w:numPr>
        <w:pStyle w:val="Compact"/>
      </w:pPr>
      <w:r>
        <w:rPr>
          <w:bCs/>
          <w:b/>
        </w:rPr>
        <w:t xml:space="preserve">M7</w:t>
      </w:r>
      <w:r>
        <w:t xml:space="preserve"> </w:t>
      </w:r>
      <w:r>
        <w:t xml:space="preserve">(dual-direct capability): M2 plus</w:t>
      </w:r>
      <w:r>
        <w:t xml:space="preserve"> </w:t>
      </w:r>
      <m:oMath>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oMath>
      <w:r>
        <w:t xml:space="preserve">;</w:t>
      </w:r>
    </w:p>
    <w:p>
      <w:pPr>
        <w:numPr>
          <w:ilvl w:val="0"/>
          <w:numId w:val="1001"/>
        </w:numPr>
        <w:pStyle w:val="Compact"/>
      </w:pPr>
      <w:r>
        <w:rPr>
          <w:bCs/>
          <w:b/>
        </w:rPr>
        <w:t xml:space="preserve">M8</w:t>
      </w:r>
      <w:r>
        <w:t xml:space="preserve"> </w:t>
      </w:r>
      <w:r>
        <w:t xml:space="preserve">(full DAI moderation): M7 plus the two DAI interaction terms above.</w:t>
      </w:r>
    </w:p>
    <w:p>
      <w:pPr>
        <w:pStyle w:val="FirstParagraph"/>
      </w:pPr>
      <w:r>
        <w:t xml:space="preserve">Cross-wave coefficient differences are evaluated via the Paternoster et al. (1998)</w:t>
      </w:r>
      <w:r>
        <w:t xml:space="preserve"> </w:t>
      </w:r>
      <m:oMath>
        <m:r>
          <m:t>z</m:t>
        </m:r>
      </m:oMath>
      <w:r>
        <w:t xml:space="preserve">-test,</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oMath>
      <w:r>
        <w:t xml:space="preserve">, with two-sided</w:t>
      </w:r>
      <w:r>
        <w:t xml:space="preserve"> </w:t>
      </w:r>
      <m:oMath>
        <m:r>
          <m:t>p</m:t>
        </m:r>
      </m:oMath>
      <w:r>
        <w:t xml:space="preserve">-values from the standard normal distribution. The Lind and Mehlum (2010)</w:t>
      </w:r>
      <w:r>
        <w:t xml:space="preserve"> </w:t>
      </w:r>
      <m:oMath>
        <m:r>
          <m:t>U</m:t>
        </m:r>
      </m:oMath>
      <w:r>
        <w:t xml:space="preserve">-test is applied on the</w:t>
      </w:r>
      <w:r>
        <w:t xml:space="preserve"> </w:t>
      </w:r>
      <m:oMath>
        <m:d>
          <m:dPr>
            <m:begChr m:val="["/>
            <m:endChr m:val="]"/>
            <m:sepChr m:val=""/>
            <m:grow/>
          </m:dPr>
          <m:e>
            <m:r>
              <m:t>0</m:t>
            </m:r>
            <m:r>
              <m:rPr>
                <m:sty m:val="p"/>
              </m:rPr>
              <m:t>,</m:t>
            </m:r>
            <m:r>
              <m:t>1</m:t>
            </m:r>
          </m:e>
        </m:d>
      </m:oMath>
      <w:r>
        <w:t xml:space="preserve"> </w:t>
      </w:r>
      <w:r>
        <w:t xml:space="preserve">range of FSTS to verify the inverted-U formally.</w:t>
      </w:r>
      <w:r>
        <w:t xml:space="preserve"> </w:t>
      </w:r>
      <w:r>
        <w:t xml:space="preserve">This design separates three analytical questions. First, is the I–P relationship nonlinear? Second, are</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directly associated with performance? Third, does the role of foundational digital adoption become more conditional as export intensity rises? Throughout,</w:t>
      </w:r>
      <w:r>
        <w:t xml:space="preserve"> </w:t>
      </w:r>
      <w:r>
        <w:t xml:space="preserve">results are described as associations rather than effects, consistent with the inferential limits of</w:t>
      </w:r>
      <w:r>
        <w:t xml:space="preserve"> </w:t>
      </w:r>
      <w:r>
        <w:t xml:space="preserve">repeated-cross-section data (Antonakis et al., 2010; Wooldridge, 2010).</w:t>
      </w:r>
    </w:p>
    <w:bookmarkEnd w:id="34"/>
    <w:bookmarkStart w:id="35" w:name="X9c2f12e6692d10d70bc33fdcd8ef5cde146d046"/>
    <w:p>
      <w:pPr>
        <w:pStyle w:val="Heading3"/>
      </w:pPr>
      <w:r>
        <w:t xml:space="preserve">3.4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w:t>
      </w:r>
    </w:p>
    <w:p>
      <w:pPr>
        <w:pStyle w:val="BodyText"/>
      </w:pPr>
      <w:r>
        <w:t xml:space="preserve">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5"/>
    <w:bookmarkEnd w:id="36"/>
    <w:bookmarkStart w:id="43" w:name="X121719332867ee227f0a04b486098cee978c6e6"/>
    <w:p>
      <w:pPr>
        <w:pStyle w:val="Heading2"/>
      </w:pPr>
      <w:r>
        <w:t xml:space="preserve">4. Results</w:t>
      </w:r>
    </w:p>
    <w:p>
      <w:pPr>
        <w:pStyle w:val="FirstParagraph"/>
      </w:pPr>
      <w:r>
        <w:t xml:space="preserve">Table 1 reports analytic-sample summary statistics by wave. Three patterns are worth noting</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37"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w:t>
      </w:r>
      <w:r>
        <w:t xml:space="preserve"> </w:t>
      </w:r>
      <m:oMath>
        <m:acc>
          <m:accPr>
            <m:chr m:val="̃"/>
          </m:accPr>
          <m:e>
            <m:r>
              <m:rPr>
                <m:sty m:val="p"/>
              </m:rPr>
              <m:t>T</m:t>
            </m:r>
            <m:r>
              <m:rPr>
                <m:sty m:val="p"/>
              </m:rPr>
              <m:t>C</m:t>
            </m:r>
            <m:r>
              <m:rPr>
                <m:sty m:val="p"/>
              </m:rPr>
              <m:t>I</m:t>
            </m:r>
          </m:e>
        </m:acc>
      </m:oMath>
      <w:r>
        <w:t xml:space="preserve"> </w:t>
      </w:r>
      <w:r>
        <w:t xml:space="preserve">(β = 0.215, p &lt; .001) and</w:t>
      </w:r>
      <w:r>
        <w:t xml:space="preserve"> </w:t>
      </w:r>
      <m:oMath>
        <m:acc>
          <m:accPr>
            <m:chr m:val="̃"/>
          </m:accPr>
          <m:e>
            <m:r>
              <m:rPr>
                <m:sty m:val="p"/>
              </m:rPr>
              <m:t>D</m:t>
            </m:r>
            <m:r>
              <m:rPr>
                <m:sty m:val="p"/>
              </m:rPr>
              <m:t>A</m:t>
            </m:r>
            <m:r>
              <m:rPr>
                <m:sty m:val="p"/>
              </m:rPr>
              <m:t>I</m:t>
            </m:r>
          </m:e>
        </m:acc>
      </m:oMath>
      <w:r>
        <w:t xml:space="preserve"> </w:t>
      </w:r>
      <w:r>
        <w:t xml:space="preserve">(β = 0.175, p &lt; .001) are</w:t>
      </w:r>
      <w:r>
        <w:t xml:space="preserve"> </w:t>
      </w:r>
      <w:r>
        <w:t xml:space="preserve">positive and highly significant. TCI moderation is statistically distinguishable from zero (M3</w:t>
      </w:r>
      <w:r>
        <w:t xml:space="preserve"> </w:t>
      </w:r>
      <w:r>
        <w:t xml:space="preserve">joint p = .040;</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-0.579, p = .087), but DAI moderation is not (M4 joint</w:t>
      </w:r>
    </w:p>
    <w:p>
      <w:pPr>
        <w:pStyle w:val="BodyText"/>
      </w:pPr>
      <w:r>
        <w:t xml:space="preserve">Table 1: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m:oMath>
              <m:acc>
                <m:accPr>
                  <m:chr m:val="̃"/>
                </m:accPr>
                <m:e>
                  <m:r>
                    <m:rPr>
                      <m:sty m:val="p"/>
                    </m:rPr>
                    <m:t>T</m:t>
                  </m:r>
                  <m:r>
                    <m:rPr>
                      <m:sty m:val="p"/>
                    </m:rPr>
                    <m:t>C</m:t>
                  </m:r>
                  <m:r>
                    <m:rPr>
                      <m:sty m:val="p"/>
                    </m:rPr>
                    <m:t>I</m:t>
                  </m:r>
                </m:e>
              </m:acc>
            </m:oMath>
            <w:r>
              <w:t xml:space="preserve"> </w:t>
            </w:r>
            <w:r>
              <w:t xml:space="preserve">(mean)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m:oMath>
              <m:acc>
                <m:accPr>
                  <m:chr m:val="̃"/>
                </m:accPr>
                <m:e>
                  <m:r>
                    <m:rPr>
                      <m:sty m:val="p"/>
                    </m:rPr>
                    <m:t>D</m:t>
                  </m:r>
                  <m:r>
                    <m:rPr>
                      <m:sty m:val="p"/>
                    </m:rPr>
                    <m:t>A</m:t>
                  </m:r>
                  <m:r>
                    <m:rPr>
                      <m:sty m:val="p"/>
                    </m:rPr>
                    <m:t>I</m:t>
                  </m:r>
                </m:e>
              </m:acc>
            </m:oMath>
            <w:r>
              <w:t xml:space="preserve"> </w:t>
            </w:r>
            <w:r>
              <w:t xml:space="preserve">(mean)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are z-standardized formative composites. FSTS = foreign sales-to-total-sales ratio. Sample sizes: 2009 N=989; 2015 N=956; 2023 N=1,013; pooled N=2,958.</w:t>
      </w:r>
    </w:p>
    <w:p>
      <w:pPr>
        <w:pStyle w:val="BodyText"/>
      </w:pPr>
      <w:r>
        <w:t xml:space="preserve">Table 2: Focal coefficient summary by wave and pooled (M2 inverted-U, M7 dual-direct, M8 with DAI moderation).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Term</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rPr>
                <w:bCs/>
                <w:b/>
              </w:rPr>
              <w:t xml:space="preserve">M2. Inverted-U on FSTS</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(linear)</w:t>
            </w:r>
          </w:p>
        </w:tc>
        <w:tc>
          <w:tcPr/>
          <w:p>
            <w:pPr>
              <w:pStyle w:val="Compact"/>
              <w:jc w:val="left"/>
            </w:pPr>
            <w:r>
              <w:t xml:space="preserve">+1.045* (p=.015)</w:t>
            </w:r>
          </w:p>
        </w:tc>
        <w:tc>
          <w:tcPr/>
          <w:p>
            <w:pPr>
              <w:pStyle w:val="Compact"/>
              <w:jc w:val="left"/>
            </w:pPr>
            <w:r>
              <w:t xml:space="preserve">+1.159* (p=.029)</w:t>
            </w:r>
          </w:p>
        </w:tc>
        <w:tc>
          <w:tcPr/>
          <w:p>
            <w:pPr>
              <w:pStyle w:val="Compact"/>
              <w:jc w:val="left"/>
            </w:pPr>
            <w:r>
              <w:t xml:space="preserve">+0.962* (p=.039)</w:t>
            </w:r>
          </w:p>
        </w:tc>
        <w:tc>
          <w:tcPr/>
          <w:p>
            <w:pPr>
              <w:pStyle w:val="Compact"/>
              <w:jc w:val="left"/>
            </w:pPr>
            <w:r>
              <w:t xml:space="preserve">+0.984*** (p&lt;.001)</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(quadratic)</w:t>
            </w:r>
          </w:p>
        </w:tc>
        <w:tc>
          <w:tcPr/>
          <w:p>
            <w:pPr>
              <w:pStyle w:val="Compact"/>
              <w:jc w:val="left"/>
            </w:pPr>
            <w:r>
              <w:t xml:space="preserve">-1.823** (p=.005)</w:t>
            </w:r>
          </w:p>
        </w:tc>
        <w:tc>
          <w:tcPr/>
          <w:p>
            <w:pPr>
              <w:pStyle w:val="Compact"/>
              <w:jc w:val="left"/>
            </w:pPr>
            <w:r>
              <w:t xml:space="preserve">-2.115** (p=.004)</w:t>
            </w:r>
          </w:p>
        </w:tc>
        <w:tc>
          <w:tcPr/>
          <w:p>
            <w:pPr>
              <w:pStyle w:val="Compact"/>
              <w:jc w:val="left"/>
            </w:pPr>
            <w:r>
              <w:t xml:space="preserve">-1.686** (p=.008)</w:t>
            </w:r>
          </w:p>
        </w:tc>
        <w:tc>
          <w:tcPr/>
          <w:p>
            <w:pPr>
              <w:pStyle w:val="Compact"/>
              <w:jc w:val="left"/>
            </w:pPr>
            <w:r>
              <w:t xml:space="preserve">-1.909*** (p&lt;.001)</w:t>
            </w:r>
          </w:p>
        </w:tc>
      </w:tr>
      <w:tr>
        <w:tc>
          <w:tcPr/>
          <w:p>
            <w:pPr>
              <w:pStyle w:val="Compact"/>
              <w:jc w:val="left"/>
            </w:pPr>
            <w:r>
              <w:t xml:space="preserve">Lind–Mehlum p</w:t>
            </w:r>
          </w:p>
        </w:tc>
        <w:tc>
          <w:tcPr/>
          <w:p>
            <w:pPr>
              <w:pStyle w:val="Compact"/>
              <w:jc w:val="left"/>
            </w:pPr>
            <w:r>
              <w:t xml:space="preserve">&lt;.05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&lt;.001</w:t>
            </w:r>
          </w:p>
        </w:tc>
      </w:tr>
      <w:tr>
        <w:tc>
          <w:tcPr/>
          <w:p>
            <w:pPr>
              <w:pStyle w:val="Compact"/>
              <w:jc w:val="left"/>
            </w:pPr>
            <w:r>
              <w:t xml:space="preserve">Turning point (centred-scale inflection,</w:t>
            </w:r>
            <w:r>
              <w:t xml:space="preserve"> </w:t>
            </w:r>
            <m:oMath>
              <m:sSup>
                <m:e>
                  <m:r>
                    <m:rPr>
                      <m:sty m:val="p"/>
                    </m:rPr>
                    <m:t>F</m:t>
                  </m:r>
                  <m:r>
                    <m:rPr>
                      <m:sty m:val="p"/>
                    </m:rPr>
                    <m:t>S</m:t>
                  </m:r>
                  <m:r>
                    <m:rPr>
                      <m:sty m:val="p"/>
                    </m:rPr>
                    <m:t>T</m:t>
                  </m:r>
                  <m:r>
                    <m:rPr>
                      <m:sty m:val="p"/>
                    </m:rPr>
                    <m:t>S</m:t>
                  </m:r>
                </m:e>
                <m:sup>
                  <m:r>
                    <m:t>c</m:t>
                  </m:r>
                </m:sup>
              </m:sSup>
            </m:oMath>
            <w:r>
              <w:t xml:space="preserve">)</w:t>
            </w:r>
          </w:p>
        </w:tc>
        <w:tc>
          <w:tcPr/>
          <w:p>
            <w:pPr>
              <w:pStyle w:val="Compact"/>
              <w:jc w:val="left"/>
            </w:pPr>
            <w:r>
              <w:t xml:space="preserve">0.287</w:t>
            </w:r>
          </w:p>
        </w:tc>
        <w:tc>
          <w:tcPr/>
          <w:p>
            <w:pPr>
              <w:pStyle w:val="Compact"/>
              <w:jc w:val="left"/>
            </w:pPr>
            <w:r>
              <w:t xml:space="preserve">0.274</w:t>
            </w:r>
          </w:p>
        </w:tc>
        <w:tc>
          <w:tcPr/>
          <w:p>
            <w:pPr>
              <w:pStyle w:val="Compact"/>
              <w:jc w:val="left"/>
            </w:pPr>
            <w:r>
              <w:t xml:space="preserve">0.285</w:t>
            </w:r>
          </w:p>
        </w:tc>
        <w:tc>
          <w:tcPr/>
          <w:p>
            <w:pPr>
              <w:pStyle w:val="Compact"/>
              <w:jc w:val="left"/>
            </w:pPr>
            <w:r>
              <w:t xml:space="preserve">0.397</w:t>
            </w:r>
          </w:p>
        </w:tc>
      </w:tr>
      <w:tr>
        <w:tc>
          <w:tcPr/>
          <w:p>
            <w:pPr>
              <w:pStyle w:val="Compact"/>
              <w:jc w:val="left"/>
            </w:pPr>
            <w:r>
              <w:rPr>
                <w:bCs/>
                <w:b/>
              </w:rPr>
              <w:t xml:space="preserve">M7. Dual-direct capability</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+0.215*** (p&lt;.001)</w:t>
            </w:r>
          </w:p>
        </w:tc>
        <w:tc>
          <w:tcPr/>
          <w:p>
            <w:pPr>
              <w:pStyle w:val="Compact"/>
              <w:jc w:val="left"/>
            </w:pPr>
            <w:r>
              <w:t xml:space="preserve">+0.128** (p=.010)</w:t>
            </w:r>
          </w:p>
        </w:tc>
        <w:tc>
          <w:tcPr/>
          <w:p>
            <w:pPr>
              <w:pStyle w:val="Compact"/>
              <w:jc w:val="left"/>
            </w:pPr>
            <w:r>
              <w:t xml:space="preserve">+0.123** (p=.006)</w:t>
            </w:r>
          </w:p>
        </w:tc>
        <w:tc>
          <w:tcPr/>
          <w:p>
            <w:pPr>
              <w:pStyle w:val="Compact"/>
              <w:jc w:val="left"/>
            </w:pPr>
            <w:r>
              <w:t xml:space="preserve">+0.179*** (p&lt;.001)</w:t>
            </w:r>
          </w:p>
        </w:tc>
      </w:tr>
      <w:tr>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+0.175*** (p&lt;.001)</w:t>
            </w:r>
          </w:p>
        </w:tc>
        <w:tc>
          <w:tcPr/>
          <w:p>
            <w:pPr>
              <w:pStyle w:val="Compact"/>
              <w:jc w:val="left"/>
            </w:pPr>
            <w:r>
              <w:t xml:space="preserve">-0.044 (p=.377)</w:t>
            </w:r>
          </w:p>
        </w:tc>
        <w:tc>
          <w:tcPr/>
          <w:p>
            <w:pPr>
              <w:pStyle w:val="Compact"/>
              <w:jc w:val="left"/>
            </w:pPr>
            <w:r>
              <w:t xml:space="preserve">+0.095* (p=.038)</w:t>
            </w:r>
          </w:p>
        </w:tc>
        <w:tc>
          <w:tcPr/>
          <w:p>
            <w:pPr>
              <w:pStyle w:val="Compact"/>
              <w:jc w:val="left"/>
            </w:pPr>
            <w:r>
              <w:t xml:space="preserve">+0.078** (p=.004)</w:t>
            </w:r>
          </w:p>
        </w:tc>
      </w:tr>
      <w:tr>
        <w:tc>
          <w:tcPr/>
          <w:p>
            <w:pPr>
              <w:pStyle w:val="Compact"/>
              <w:jc w:val="left"/>
            </w:pPr>
            <w:r>
              <w:rPr>
                <w:bCs/>
                <w:b/>
              </w:rPr>
              <w:t xml:space="preserve">M8. With FSTS × DAI moderation (pooled M8:</w:t>
            </w:r>
            <w:r>
              <w:rPr>
                <w:bCs/>
                <w:b/>
              </w:rPr>
              <w:t xml:space="preserve"> </w:t>
            </w:r>
            <m:oMath>
              <m:sSup>
                <m:e>
                  <m:r>
                    <m:rPr>
                      <m:sty m:val="p"/>
                    </m:rPr>
                    <m:t>F</m:t>
                  </m:r>
                  <m:r>
                    <m:rPr>
                      <m:sty m:val="p"/>
                    </m:rPr>
                    <m:t>S</m:t>
                  </m:r>
                  <m:r>
                    <m:rPr>
                      <m:sty m:val="p"/>
                    </m:rPr>
                    <m:t>T</m:t>
                  </m:r>
                  <m:r>
                    <m:rPr>
                      <m:sty m:val="p"/>
                    </m:rPr>
                    <m:t>S</m:t>
                  </m:r>
                </m:e>
                <m:sup>
                  <m:r>
                    <m:t>c</m:t>
                  </m:r>
                </m:sup>
              </m:sSup>
            </m:oMath>
            <w:r>
              <w:rPr>
                <w:bCs/>
                <w:b/>
              </w:rPr>
              <w:t xml:space="preserve"> </w:t>
            </w:r>
            <w:r>
              <w:rPr>
                <w:bCs/>
                <w:b/>
              </w:rPr>
              <w:t xml:space="preserve">β=0.845, p=.006;</w:t>
            </w:r>
            <w:r>
              <w:rPr>
                <w:bCs/>
                <w:b/>
              </w:rP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rPr>
                <w:bCs/>
                <w:b/>
              </w:rPr>
              <w:t xml:space="preserve"> </w:t>
            </w:r>
            <w:r>
              <w:rPr>
                <w:bCs/>
                <w:b/>
              </w:rPr>
              <w:t xml:space="preserve">β=-1.650, p&lt;.001)</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-0.912* (p=.043)</w:t>
            </w:r>
          </w:p>
        </w:tc>
        <w:tc>
          <w:tcPr/>
          <w:p>
            <w:pPr>
              <w:pStyle w:val="Compact"/>
              <w:jc w:val="left"/>
            </w:pPr>
            <w:r>
              <w:t xml:space="preserve">(mixed across waves)</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M8 joint test (curvature + moderation)</w:t>
            </w:r>
          </w:p>
        </w:tc>
        <w:tc>
          <w:tcPr/>
          <w:p>
            <w:pPr>
              <w:pStyle w:val="Compact"/>
              <w:jc w:val="left"/>
            </w:pPr>
            <w:r>
              <w:t xml:space="preserve">p=.700</w:t>
            </w:r>
          </w:p>
        </w:tc>
        <w:tc>
          <w:tcPr/>
          <w:p>
            <w:pPr>
              <w:pStyle w:val="Compact"/>
              <w:jc w:val="left"/>
            </w:pPr>
            <w:r>
              <w:t xml:space="preserve">n.s.</w:t>
            </w:r>
          </w:p>
        </w:tc>
        <w:tc>
          <w:tcPr/>
          <w:p>
            <w:pPr>
              <w:pStyle w:val="Compact"/>
              <w:jc w:val="left"/>
            </w:pPr>
            <w:r>
              <w:t xml:space="preserve">p=.062 †</w:t>
            </w:r>
          </w:p>
        </w:tc>
        <w:tc>
          <w:tcPr/>
          <w:p>
            <w:pPr>
              <w:pStyle w:val="Compact"/>
              <w:jc w:val="left"/>
            </w:pPr>
            <w:r>
              <w:t xml:space="preserve">—</w:t>
            </w:r>
          </w:p>
        </w:tc>
      </w:tr>
    </w:tbl>
    <w:p>
      <w:pPr>
        <w:pStyle w:val="BodyText"/>
      </w:pPr>
      <w:r>
        <w:rPr>
          <w:iCs/>
          <w:i/>
        </w:rPr>
        <w:t xml:space="preserve">Notes.</w:t>
      </w:r>
      <w:r>
        <w:t xml:space="preserve"> </w:t>
      </w:r>
      <w:r>
        <w:t xml:space="preserve">Coefficients from OLS with HC1 heteroscedasticity-robust standard errors. Sector fixed effects and standard firm-level controls (</w:t>
      </w:r>
      <m:oMath>
        <m:r>
          <m:rPr>
            <m:sty m:val="p"/>
          </m:rPr>
          <m:t>ln</m:t>
        </m:r>
        <m:d>
          <m:dPr>
            <m:begChr m:val="("/>
            <m:endChr m:val=")"/>
            <m:sepChr m:val=""/>
            <m:grow/>
          </m:dPr>
          <m:e>
            <m:r>
              <m:rPr>
                <m:sty m:val="p"/>
              </m:rPr>
              <m:t>E</m:t>
            </m:r>
            <m:r>
              <m:rPr>
                <m:sty m:val="p"/>
              </m:rPr>
              <m:t>m</m:t>
            </m:r>
            <m:r>
              <m:rPr>
                <m:sty m:val="p"/>
              </m:rPr>
              <m:t>p</m:t>
            </m:r>
          </m:e>
        </m:d>
      </m:oMath>
      <w:r>
        <w:t xml:space="preserve">, FirmAge, ForeignOwned) included throughout. Significance: *** p &lt; .001; ** p &lt; .01; * p &lt; .05; † p &lt; .10. M2 = quadratic FSTS only; M7 = M2 +</w:t>
      </w:r>
      <w:r>
        <w:t xml:space="preserve"> </w:t>
      </w:r>
      <m:oMath>
        <m:acc>
          <m:accPr>
            <m:chr m:val="̃"/>
          </m:accPr>
          <m:e>
            <m:r>
              <m:rPr>
                <m:sty m:val="p"/>
              </m:rPr>
              <m:t>T</m:t>
            </m:r>
            <m:r>
              <m:rPr>
                <m:sty m:val="p"/>
              </m:rPr>
              <m:t>C</m:t>
            </m:r>
            <m:r>
              <m:rPr>
                <m:sty m:val="p"/>
              </m:rPr>
              <m:t>I</m:t>
            </m:r>
          </m:e>
        </m:acc>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(dual direct); M8 = M7 +</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The 2023 wave is the only one in which the M8 DAI moderation channel is detectable at conventional thresholds, consistent with the Tier 1 proxy-obsolescence interpretation developed in Section 5. The turning-point row reports the inflection on the wave-centred scale (</w:t>
      </w:r>
      <m:oMath>
        <m:sSup>
          <m:e>
            <m:r>
              <m:rPr>
                <m:sty m:val="p"/>
              </m:rPr>
              <m:t>F</m:t>
            </m:r>
            <m:r>
              <m:rPr>
                <m:sty m:val="p"/>
              </m:rPr>
              <m:t>S</m:t>
            </m:r>
            <m:r>
              <m:rPr>
                <m:sty m:val="p"/>
              </m:rPr>
              <m:t>T</m:t>
            </m:r>
            <m:r>
              <m:rPr>
                <m:sty m:val="p"/>
              </m:rPr>
              <m:t>S</m:t>
            </m:r>
          </m:e>
          <m:sup>
            <m:r>
              <m:t>c</m:t>
            </m:r>
          </m:sup>
        </m:sSup>
      </m:oMath>
      <w:r>
        <w:t xml:space="preserve">); the corresponding raw-FSTS turning points (46.2%, 39.3%, 41.6%, 39.7%; range 39–46%) with delta-method confidence intervals are reported in Table 4.</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w:t>
      </w:r>
    </w:p>
    <w:p>
      <w:pPr>
        <w:pStyle w:val="BodyTex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-2.115 (p = .004), with Lind–Mehlum p =</w:t>
      </w:r>
    </w:p>
    <w:p>
      <w:pPr>
        <w:pStyle w:val="BodyText"/>
      </w:pPr>
      <m:oMath>
        <m:sSup>
          <m:e>
            <m:r>
              <m:rPr>
                <m:sty m:val="p"/>
              </m:rPr>
              <m:t>F</m:t>
            </m:r>
            <m:r>
              <m:rPr>
                <m:sty m:val="p"/>
              </m:rPr>
              <m:t>S</m:t>
            </m:r>
            <m:r>
              <m:rPr>
                <m:sty m:val="p"/>
              </m:rPr>
              <m:t>T</m:t>
            </m:r>
            <m:r>
              <m:rPr>
                <m:sty m:val="p"/>
              </m:rPr>
              <m:t>S</m:t>
            </m:r>
          </m:e>
          <m:sup>
            <m:r>
              <m:t>c</m:t>
            </m:r>
          </m:sup>
        </m:sSup>
      </m:oMath>
      <w:r>
        <w:t xml:space="preserve"> </w:t>
      </w:r>
      <w:r>
        <w:t xml:space="preserve">β = 1.159 (p = .029) and</w:t>
      </w:r>
    </w:p>
    <w:p>
      <w:pPr>
        <w:pStyle w:val="BodyText"/>
      </w:pPr>
      <w:r>
        <w:t xml:space="preserve">.009.</w:t>
      </w:r>
      <w:r>
        <w:t xml:space="preserve"> </w:t>
      </w:r>
      <m:oMath>
        <m:acc>
          <m:accPr>
            <m:chr m:val="̃"/>
          </m:accPr>
          <m:e>
            <m:r>
              <m:rPr>
                <m:sty m:val="p"/>
              </m:rPr>
              <m:t>T</m:t>
            </m:r>
            <m:r>
              <m:rPr>
                <m:sty m:val="p"/>
              </m:rPr>
              <m:t>C</m:t>
            </m:r>
            <m:r>
              <m:rPr>
                <m:sty m:val="p"/>
              </m:rPr>
              <m:t>I</m:t>
            </m:r>
          </m:e>
        </m:acc>
      </m:oMath>
      <w:r>
        <w:t xml:space="preserve"> </w:t>
      </w:r>
      <w:r>
        <w:t xml:space="preserve">retains a positive direct association (β = 0.128, p = .010) but at roughly 60 per</w:t>
      </w:r>
      <w:r>
        <w:t xml:space="preserve"> </w:t>
      </w:r>
      <w:r>
        <w:t xml:space="preserve">cent of the 2009 magnitude.</w:t>
      </w:r>
      <w:r>
        <w:t xml:space="preserve"> </w:t>
      </w:r>
      <m:oMath>
        <m:acc>
          <m:accPr>
            <m:chr m:val="̃"/>
          </m:accPr>
          <m:e>
            <m:r>
              <m:rPr>
                <m:sty m:val="p"/>
              </m:rPr>
              <m:t>D</m:t>
            </m:r>
            <m:r>
              <m:rPr>
                <m:sty m:val="p"/>
              </m:rPr>
              <m:t>A</m:t>
            </m:r>
            <m:r>
              <m:rPr>
                <m:sty m:val="p"/>
              </m:rPr>
              <m:t>I</m:t>
            </m:r>
          </m:e>
        </m:acc>
      </m:oMath>
      <w:r>
        <w:t xml:space="preserve"> </w:t>
      </w:r>
      <w:r>
        <w:t xml:space="preserve">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w:t>
      </w:r>
    </w:p>
    <w:p>
      <w:pPr>
        <w:pStyle w:val="BodyText"/>
      </w:pPr>
      <w:r>
        <w:t xml:space="preserve">M2 again</w:t>
      </w:r>
    </w:p>
    <w:p>
      <w:pPr>
        <w:pStyle w:val="BodyText"/>
      </w:pPr>
      <w:r>
        <w:t xml:space="preserve">indicates a clear inverted-U (</w:t>
      </w:r>
      <m:oMath>
        <m:sSup>
          <m:e>
            <m:r>
              <m:rPr>
                <m:sty m:val="p"/>
              </m:rPr>
              <m:t>F</m:t>
            </m:r>
            <m:r>
              <m:rPr>
                <m:sty m:val="p"/>
              </m:rPr>
              <m:t>S</m:t>
            </m:r>
            <m:r>
              <m:rPr>
                <m:sty m:val="p"/>
              </m:rPr>
              <m:t>T</m:t>
            </m:r>
            <m:r>
              <m:rPr>
                <m:sty m:val="p"/>
              </m:rPr>
              <m:t>S</m:t>
            </m:r>
          </m:e>
          <m:sup>
            <m:r>
              <m:t>c</m:t>
            </m:r>
          </m:sup>
        </m:sSup>
      </m:oMath>
      <w:r>
        <w:t xml:space="preserve"> </w:t>
      </w:r>
      <w:r>
        <w:t xml:space="preserve">β = 0.962, p = .039;</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-1.686, p = .008;</w:t>
      </w:r>
      <w:r>
        <w:t xml:space="preserve"> </w:t>
      </w:r>
      <w:r>
        <w:t xml:space="preserve">Lind–Mehlum p = .013).</w:t>
      </w:r>
    </w:p>
    <w:p>
      <w:pPr>
        <w:pStyle w:val="BodyText"/>
      </w:pPr>
      <w:r>
        <w:t xml:space="preserve">In the dual-direct M7, both capability dimensions are positive and</w:t>
      </w:r>
    </w:p>
    <w:p>
      <w:pPr>
        <w:pStyle w:val="BodyText"/>
      </w:pPr>
      <w:r>
        <w:t xml:space="preserve">significant (</w:t>
      </w:r>
      <m:oMath>
        <m:acc>
          <m:accPr>
            <m:chr m:val="̃"/>
          </m:accPr>
          <m:e>
            <m:r>
              <m:rPr>
                <m:sty m:val="p"/>
              </m:rPr>
              <m:t>T</m:t>
            </m:r>
            <m:r>
              <m:rPr>
                <m:sty m:val="p"/>
              </m:rPr>
              <m:t>C</m:t>
            </m:r>
            <m:r>
              <m:rPr>
                <m:sty m:val="p"/>
              </m:rPr>
              <m:t>I</m:t>
            </m:r>
          </m:e>
        </m:acc>
      </m:oMath>
      <w:r>
        <w:t xml:space="preserve"> </w:t>
      </w:r>
      <w:r>
        <w:t xml:space="preserve">β = 0.123, p = .006;</w:t>
      </w:r>
      <w:r>
        <w:t xml:space="preserve"> </w:t>
      </w:r>
      <m:oMath>
        <m:acc>
          <m:accPr>
            <m:chr m:val="̃"/>
          </m:accPr>
          <m:e>
            <m:r>
              <m:rPr>
                <m:sty m:val="p"/>
              </m:rPr>
              <m:t>D</m:t>
            </m:r>
            <m:r>
              <m:rPr>
                <m:sty m:val="p"/>
              </m:rPr>
              <m:t>A</m:t>
            </m:r>
            <m:r>
              <m:rPr>
                <m:sty m:val="p"/>
              </m:rPr>
              <m:t>I</m:t>
            </m:r>
          </m:e>
        </m:acc>
      </m:oMath>
      <w:r>
        <w:t xml:space="preserve"> </w:t>
      </w:r>
      <w:r>
        <w:t xml:space="preserve">β = 0.095, p = .038). When the DAI interaction</w:t>
      </w:r>
      <w:r>
        <w:t xml:space="preserve"> </w:t>
      </w:r>
      <w:r>
        <w:t xml:space="preserve">terms are added in M8, the linear interaction is negative and individually significant (</w:t>
      </w:r>
      <m:oMath>
        <m:sSup>
          <m:e>
            <m:r>
              <m:rPr>
                <m:sty m:val="p"/>
              </m:rPr>
              <m:t>F</m:t>
            </m:r>
            <m:r>
              <m:rPr>
                <m:sty m:val="p"/>
              </m:rPr>
              <m:t>S</m:t>
            </m:r>
            <m:r>
              <m:rPr>
                <m:sty m:val="p"/>
              </m:rPr>
              <m:t>T</m:t>
            </m:r>
            <m:r>
              <m:rPr>
                <m:sty m:val="p"/>
              </m:rPr>
              <m:t>S</m:t>
            </m:r>
          </m:e>
          <m:sup>
            <m:r>
              <m:t>c</m:t>
            </m:r>
          </m:sup>
        </m:sSup>
      </m:oMath>
    </w:p>
    <w:p>
      <w:pPr>
        <w:pStyle w:val="BodyText"/>
      </w:pPr>
      <w:r>
        <w:t xml:space="preserve">×</w:t>
      </w:r>
      <w:r>
        <w:t xml:space="preserve"> </w:t>
      </w:r>
      <m:oMath>
        <m:acc>
          <m:accPr>
            <m:chr m:val="̃"/>
          </m:accPr>
          <m:e>
            <m:r>
              <m:rPr>
                <m:sty m:val="p"/>
              </m:rPr>
              <m:t>D</m:t>
            </m:r>
            <m:r>
              <m:rPr>
                <m:sty m:val="p"/>
              </m:rPr>
              <m:t>A</m:t>
            </m:r>
            <m:r>
              <m:rPr>
                <m:sty m:val="p"/>
              </m:rPr>
              <m:t>I</m:t>
            </m:r>
          </m:e>
        </m:acc>
      </m:oMath>
      <w:r>
        <w:t xml:space="preserve"> </w:t>
      </w:r>
      <w:r>
        <w:t xml:space="preserve">= -0.912, p = .043), the quadratic interaction is positive and marginal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1.043, p = .099), and the joint test sits at marginal significance (M4 joint p = .102;</w:t>
      </w:r>
    </w:p>
    <w:p>
      <w:pPr>
        <w:pStyle w:val="BodyText"/>
      </w:pPr>
      <w:r>
        <w:t xml:space="preserve">M8 joint p = .062). The substantive reading is that, by 2023, basic digital adoption becomes</w:t>
      </w:r>
      <w:r>
        <w:t xml:space="preserve"> </w:t>
      </w:r>
      <w:r>
        <w:t xml:space="preserve">more conditional on export intensity:</w:t>
      </w:r>
    </w:p>
    <w:p>
      <w:pPr>
        <w:pStyle w:val="BodyText"/>
      </w:pPr>
      <w:r>
        <w:t xml:space="preserve">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Section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instead, the instrument has lost its discriminatory power as Tier 1 adoption has diffused to near-universal levels (49.8% in 2023 vs 42.5% in 2009). Future analyses using the</w:t>
      </w:r>
      <w:r>
        <w:t xml:space="preserve"> </w:t>
      </w:r>
      <m:oMath>
        <m:sSub>
          <m:e>
            <m:r>
              <m:rPr>
                <m:sty m:val="p"/>
              </m:rPr>
              <m:t>D</m:t>
            </m:r>
            <m:r>
              <m:rPr>
                <m:sty m:val="p"/>
              </m:rPr>
              <m:t>A</m:t>
            </m:r>
            <m:r>
              <m:rPr>
                <m:sty m:val="p"/>
              </m:rPr>
              <m:t>I</m:t>
            </m:r>
          </m:e>
          <m:sub>
            <m:r>
              <m:rPr>
                <m:nor/>
                <m:sty m:val="p"/>
              </m:rPr>
              <m:t>rich</m:t>
            </m:r>
          </m:sub>
        </m:sSub>
      </m:oMath>
      <w:r>
        <w:t xml:space="preserve"> </w:t>
      </w:r>
      <w:r>
        <w:t xml:space="preserve">composite (Tier 1+2; Panel B, 2023 only) would provide a within-wave test of whether the sign shifts when electronic-payment-intensity items are added to the Vietnamese instrument.</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w:t>
      </w:r>
      <m:oMath>
        <m:acc>
          <m:accPr>
            <m:chr m:val="̃"/>
          </m:accPr>
          <m:e>
            <m:r>
              <m:rPr>
                <m:sty m:val="p"/>
              </m:rPr>
              <m:t>T</m:t>
            </m:r>
            <m:r>
              <m:rPr>
                <m:sty m:val="p"/>
              </m:rPr>
              <m:t>C</m:t>
            </m:r>
            <m:r>
              <m:rPr>
                <m:sty m:val="p"/>
              </m:rPr>
              <m:t>I</m:t>
            </m:r>
          </m:e>
        </m:acc>
      </m:oMath>
      <w:r>
        <w:t xml:space="preserve"> </w:t>
      </w:r>
      <w:r>
        <w:t xml:space="preserve">= 0.215, 0.128, 0.123) but with moderation</w:t>
      </w:r>
    </w:p>
    <w:p>
      <w:pPr>
        <w:pStyle w:val="BodyText"/>
      </w:pPr>
      <w:r>
        <w:t xml:space="preserve">that survives in the 2009, 2023 and pooled panels. Website-based digital presence follows a nonmonotonic trajectory, strong in 2009 (β = 0.175 ***), null in 2015 (β = -0.044 n.s.), and</w:t>
      </w:r>
      <w:r>
        <w:t xml:space="preserve"> </w:t>
      </w:r>
      <w:r>
        <w:t xml:space="preserve">re-emerging in 2023 (β = 0.095 *), and its moderation channel materialises only in 2023.</w:t>
      </w:r>
      <w:r>
        <w:t xml:space="preserve"> </w:t>
      </w:r>
      <w:r>
        <w:t xml:space="preserve">The Paternoster cross-wave z-tests reported in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even at the website-only layer, generated direct gains because the alternative was</w:t>
      </w:r>
      <w:r>
        <w:t xml:space="preserve"> </w:t>
      </w:r>
      <w:r>
        <w:t xml:space="preserve">paper-based transaction processing. The 2015 wave captures a transitional phase in which the</w:t>
      </w:r>
    </w:p>
    <w:p>
      <w:pPr>
        <w:pStyle w:val="BodyText"/>
      </w:pPr>
      <w:r>
        <w:t xml:space="preserve">= -2.115, p = .004 in M2) but the digital channel</w:t>
      </w:r>
    </w:p>
    <w:p>
      <w:pPr>
        <w:pStyle w:val="BodyText"/>
      </w:pPr>
      <w:r>
        <w:t xml:space="preserve">I–P curvature is unusually sharp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compresses entirely:</w:t>
      </w:r>
    </w:p>
    <w:p>
      <w:pPr>
        <w:pStyle w:val="BodyText"/>
      </w:pPr>
      <m:oMath>
        <m:acc>
          <m:accPr>
            <m:chr m:val="̃"/>
          </m:accPr>
          <m:e>
            <m:r>
              <m:rPr>
                <m:sty m:val="p"/>
              </m:rPr>
              <m:t>D</m:t>
            </m:r>
            <m:r>
              <m:rPr>
                <m:sty m:val="p"/>
              </m:rPr>
              <m:t>A</m:t>
            </m:r>
            <m:r>
              <m:rPr>
                <m:sty m:val="p"/>
              </m:rPr>
              <m:t>I</m:t>
            </m:r>
          </m:e>
        </m:acc>
      </m:oMath>
      <w:r>
        <w:t xml:space="preserve"> </w:t>
      </w:r>
      <w:r>
        <w:t xml:space="preserve">loses direct salience and shows no joint moderation, suggesting</w:t>
      </w:r>
    </w:p>
    <w:p>
      <w:pPr>
        <w:pStyle w:val="BodyText"/>
      </w:pPr>
      <w:r>
        <w:t xml:space="preserve">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interaction shows that this conditional channel binds primarily at</w:t>
      </w:r>
      <w:r>
        <w:t xml:space="preserve"> </w:t>
      </w:r>
      <w:r>
        <w:t xml:space="preserve">higher export intensity rather than uniformly across the export-intensity range.</w:t>
      </w:r>
    </w:p>
    <w:bookmarkEnd w:id="37"/>
    <w:bookmarkStart w:id="38" w:name="Xaa4851a9c1b3e08eeca0ab72ae930e2b05bff75"/>
    <w:p>
      <w:pPr>
        <w:pStyle w:val="Heading3"/>
      </w:pPr>
      <w:r>
        <w:t xml:space="preserve">4.2 Pooled findings</w:t>
      </w:r>
    </w:p>
    <w:p>
      <w:pPr>
        <w:pStyle w:val="FirstParagraph"/>
      </w:pPr>
      <w:r>
        <w:t xml:space="preserve">The pooled estimates confirm that the internationalisation–performance relationship is nonlinear</w:t>
      </w:r>
      <w:r>
        <w:t xml:space="preserve"> </w:t>
      </w:r>
      <w:r>
        <w:t xml:space="preserve">on average. In the pooled M2 specification, the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is positive (β = 0.984, p</w:t>
      </w:r>
    </w:p>
    <w:p>
      <w:pPr>
        <w:pStyle w:val="BodyText"/>
      </w:pPr>
      <w:r>
        <w:t xml:space="preserve">term is negative (β = -1.909, p &lt; .001); the Lind–Mehlum</w:t>
      </w:r>
    </w:p>
    <w:p>
      <w:pPr>
        <w:pStyle w:val="BodyText"/>
      </w:pPr>
      <w:r>
        <w:t xml:space="preserve">&lt; .001) and the quadratic</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test rejects monotonicity at p &lt; .001 with an estimated turning point at 39.7 per cent of directexport intensity. The curvature persists in the full M8 specification (</w:t>
      </w:r>
      <m:oMath>
        <m:sSup>
          <m:e>
            <m:r>
              <m:rPr>
                <m:sty m:val="p"/>
              </m:rPr>
              <m:t>F</m:t>
            </m:r>
            <m:r>
              <m:rPr>
                <m:sty m:val="p"/>
              </m:rPr>
              <m:t>S</m:t>
            </m:r>
            <m:r>
              <m:rPr>
                <m:sty m:val="p"/>
              </m:rPr>
              <m:t>T</m:t>
            </m:r>
            <m:r>
              <m:rPr>
                <m:sty m:val="p"/>
              </m:rPr>
              <m:t>S</m:t>
            </m:r>
          </m:e>
          <m:sup>
            <m:r>
              <m:t>c</m:t>
            </m:r>
          </m:sup>
        </m:sSup>
      </m:oMath>
      <w:r>
        <w:t xml:space="preserve"> </w:t>
      </w:r>
      <w:r>
        <w:t xml:space="preserve">β = 0.845, p = .006;</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β = -1.650, p &lt; .001), supporting H1 and aligning with the meta-analytic evidence</w:t>
      </w:r>
    </w:p>
    <w:p>
      <w:pPr>
        <w:pStyle w:val="BodyText"/>
      </w:pPr>
      <w:r>
        <w:t xml:space="preserve">on the nonlinear shape of internationalisation returns in emerging-market firms (Marano et al.,</w:t>
      </w:r>
      <w:r>
        <w:t xml:space="preserve"> </w:t>
      </w:r>
      <w:r>
        <w:t xml:space="preserve">2016).</w:t>
      </w:r>
      <w:r>
        <w:t xml:space="preserve"> </w:t>
      </w:r>
      <w:r>
        <w:t xml:space="preserve">The pooled evidence shows that both technological capability and basic digital adoption are</w:t>
      </w:r>
      <w:r>
        <w:t xml:space="preserve"> </w:t>
      </w:r>
      <w:r>
        <w:t xml:space="preserve">positively associated with firm performance on average. In the pooled M7 dual-direct specification,</w:t>
      </w:r>
      <w:r>
        <w:t xml:space="preserve"> </w:t>
      </w:r>
      <m:oMath>
        <m:acc>
          <m:accPr>
            <m:chr m:val="̃"/>
          </m:accPr>
          <m:e>
            <m:r>
              <m:rPr>
                <m:sty m:val="p"/>
              </m:rPr>
              <m:t>T</m:t>
            </m:r>
            <m:r>
              <m:rPr>
                <m:sty m:val="p"/>
              </m:rPr>
              <m:t>C</m:t>
            </m:r>
            <m:r>
              <m:rPr>
                <m:sty m:val="p"/>
              </m:rPr>
              <m:t>I</m:t>
            </m:r>
          </m:e>
        </m:acc>
      </m:oMath>
      <w:r>
        <w:t xml:space="preserve"> </w:t>
      </w:r>
      <w:r>
        <w:t xml:space="preserve">is positive and highly significant (β = 0.179, p &lt; .001), and</w:t>
      </w:r>
      <w:r>
        <w:t xml:space="preserve"> </w:t>
      </w:r>
      <m:oMath>
        <m:acc>
          <m:accPr>
            <m:chr m:val="̃"/>
          </m:accPr>
          <m:e>
            <m:r>
              <m:rPr>
                <m:sty m:val="p"/>
              </m:rPr>
              <m:t>D</m:t>
            </m:r>
            <m:r>
              <m:rPr>
                <m:sty m:val="p"/>
              </m:rPr>
              <m:t>A</m:t>
            </m:r>
            <m:r>
              <m:rPr>
                <m:sty m:val="p"/>
              </m:rPr>
              <m:t>I</m:t>
            </m:r>
          </m:e>
        </m:acc>
      </m:oMath>
      <w:r>
        <w:t xml:space="preserve"> </w:t>
      </w:r>
      <w:r>
        <w:t xml:space="preserve">is positive</w:t>
      </w:r>
      <w:r>
        <w:t xml:space="preserve"> </w:t>
      </w:r>
      <w:r>
        <w:t xml:space="preserve">and significant (β = 0.078, p = .004).</w:t>
      </w:r>
    </w:p>
    <w:p>
      <w:pPr>
        <w:pStyle w:val="BodyText"/>
      </w:pPr>
      <w:r>
        <w:t xml:space="preserve">In the full M8 specification, the</w:t>
      </w:r>
      <w:r>
        <w:t xml:space="preserve"> </w:t>
      </w:r>
      <m:oMath>
        <m:acc>
          <m:accPr>
            <m:chr m:val="̃"/>
          </m:accPr>
          <m:e>
            <m:r>
              <m:rPr>
                <m:sty m:val="p"/>
              </m:rPr>
              <m:t>T</m:t>
            </m:r>
            <m:r>
              <m:rPr>
                <m:sty m:val="p"/>
              </m:rPr>
              <m:t>C</m:t>
            </m:r>
            <m:r>
              <m:rPr>
                <m:sty m:val="p"/>
              </m:rPr>
              <m:t>I</m:t>
            </m:r>
          </m:e>
        </m:acc>
      </m:oMath>
      <w:r>
        <w:t xml:space="preserve"> </w:t>
      </w:r>
      <w:r>
        <w:t xml:space="preserve">coefficient is</w:t>
      </w:r>
    </w:p>
    <w:p>
      <w:pPr>
        <w:pStyle w:val="BodyText"/>
      </w:pPr>
      <w:r>
        <w:t xml:space="preserve">essentially unchanged (β = 0.184, p &lt; .001), while the</w:t>
      </w:r>
      <w:r>
        <w:t xml:space="preserve"> </w:t>
      </w:r>
      <m:oMath>
        <m:acc>
          <m:accPr>
            <m:chr m:val="̃"/>
          </m:accPr>
          <m:e>
            <m:r>
              <m:rPr>
                <m:sty m:val="p"/>
              </m:rPr>
              <m:t>D</m:t>
            </m:r>
            <m:r>
              <m:rPr>
                <m:sty m:val="p"/>
              </m:rPr>
              <m:t>A</m:t>
            </m:r>
            <m:r>
              <m:rPr>
                <m:sty m:val="p"/>
              </m:rPr>
              <m:t>I</m:t>
            </m:r>
          </m:e>
        </m:acc>
      </m:oMath>
      <w:r>
        <w:t xml:space="preserve"> </w:t>
      </w:r>
      <w:r>
        <w:t xml:space="preserve">direct coefficient becomes statistically indistinguishable from zero (β = 0.032, p = .537) once the interaction terms are entered.</w:t>
      </w:r>
      <w:r>
        <w:t xml:space="preserve"> </w:t>
      </w:r>
      <w:r>
        <w:t xml:space="preserve">This sensitivity is consistent with the interpretation that</w:t>
      </w:r>
      <w:r>
        <w:t xml:space="preserve"> </w:t>
      </w:r>
      <m:oMath>
        <m:acc>
          <m:accPr>
            <m:chr m:val="̃"/>
          </m:accPr>
          <m:e>
            <m:r>
              <m:rPr>
                <m:sty m:val="p"/>
              </m:rPr>
              <m:t>D</m:t>
            </m:r>
            <m:r>
              <m:rPr>
                <m:sty m:val="p"/>
              </m:rPr>
              <m:t>A</m:t>
            </m:r>
            <m:r>
              <m:rPr>
                <m:sty m:val="p"/>
              </m:rPr>
              <m:t>I</m:t>
            </m:r>
          </m:e>
        </m:acc>
      </m:oMath>
      <w:r>
        <w:t xml:space="preserve"> </w:t>
      </w:r>
      <w:r>
        <w:t xml:space="preserve">combines a positive level effect</w:t>
      </w:r>
      <w:r>
        <w:t xml:space="preserve"> </w:t>
      </w:r>
      <w:r>
        <w:t xml:space="preserve">with a negative interaction with</w:t>
      </w:r>
      <w:r>
        <w:t xml:space="preserve"> </w:t>
      </w:r>
      <m:oMath>
        <m:sSup>
          <m:e>
            <m:r>
              <m:rPr>
                <m:sty m:val="p"/>
              </m:rPr>
              <m:t>F</m:t>
            </m:r>
            <m:r>
              <m:rPr>
                <m:sty m:val="p"/>
              </m:rPr>
              <m:t>S</m:t>
            </m:r>
            <m:r>
              <m:rPr>
                <m:sty m:val="p"/>
              </m:rPr>
              <m:t>T</m:t>
            </m:r>
            <m:r>
              <m:rPr>
                <m:sty m:val="p"/>
              </m:rPr>
              <m:t>S</m:t>
            </m:r>
          </m:e>
          <m:sup>
            <m:r>
              <m:t>c</m:t>
            </m:r>
          </m:sup>
        </m:sSup>
      </m:oMath>
      <w:r>
        <w:t xml:space="preserve"> </w:t>
      </w:r>
      <w:r>
        <w:t xml:space="preserve">at higher export intensities, precisely the pattern</w:t>
      </w:r>
    </w:p>
    <w:p>
      <w:pPr>
        <w:pStyle w:val="BodyText"/>
      </w:pPr>
      <w:r>
        <w:t xml:space="preserve">documented in 4.1 for the 2023 wave.</w:t>
      </w:r>
      <w:r>
        <w:t xml:space="preserve"> </w:t>
      </w:r>
      <w:r>
        <w:t xml:space="preserve">The pooled interaction terms involving</w:t>
      </w:r>
      <w:r>
        <w:t xml:space="preserve"> </w:t>
      </w:r>
      <m:oMath>
        <m:acc>
          <m:accPr>
            <m:chr m:val="̃"/>
          </m:accPr>
          <m:e>
            <m:r>
              <m:rPr>
                <m:sty m:val="p"/>
              </m:rPr>
              <m:t>D</m:t>
            </m:r>
            <m:r>
              <m:rPr>
                <m:sty m:val="p"/>
              </m:rPr>
              <m:t>A</m:t>
            </m:r>
            <m:r>
              <m:rPr>
                <m:sty m:val="p"/>
              </m:rPr>
              <m:t>I</m:t>
            </m:r>
          </m:e>
        </m:acc>
      </m:oMath>
      <w:r>
        <w:t xml:space="preserve"> </w:t>
      </w:r>
      <w:r>
        <w:t xml:space="preserve">carry a marginal joint signal.</w:t>
      </w:r>
    </w:p>
    <w:p>
      <w:pPr>
        <w:pStyle w:val="BodyText"/>
      </w:pPr>
      <w:r>
        <w:t xml:space="preserve">The linear</w:t>
      </w:r>
    </w:p>
    <w:p>
      <w:pPr>
        <w:pStyle w:val="BodyText"/>
      </w:pPr>
      <w:r>
        <w:t xml:space="preserve">interaction is negative but not individually significant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-0.448, p = .116),</w:t>
      </w:r>
      <w:r>
        <w:t xml:space="preserve"> </w:t>
      </w:r>
      <w:r>
        <w:t xml:space="preserve">and the quadratic interaction is positive but not significant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w:t>
      </w:r>
      <w:r>
        <w:t xml:space="preserve"> </w:t>
      </w:r>
      <m:oMath>
        <m:acc>
          <m:accPr>
            <m:chr m:val="̃"/>
          </m:accPr>
          <m:e>
            <m:r>
              <m:rPr>
                <m:sty m:val="p"/>
              </m:rPr>
              <m:t>D</m:t>
            </m:r>
            <m:r>
              <m:rPr>
                <m:sty m:val="p"/>
              </m:rPr>
              <m:t>A</m:t>
            </m:r>
            <m:r>
              <m:rPr>
                <m:sty m:val="p"/>
              </m:rPr>
              <m:t>I</m:t>
            </m:r>
          </m:e>
        </m:acc>
      </m:oMath>
      <w:r>
        <w:t xml:space="preserve"> </w:t>
      </w:r>
      <w:r>
        <w:t xml:space="preserve">= 0.460, p =</w:t>
      </w:r>
    </w:p>
    <w:p>
      <w:pPr>
        <w:pStyle w:val="BodyText"/>
      </w:pPr>
      <w:r>
        <w:t xml:space="preserve">.276). The joint Wald test sits at marginal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reaches marginal significance only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w:t>
      </w:r>
    </w:p>
    <w:p>
      <w:pPr>
        <w:pStyle w:val="BodyText"/>
      </w:pPr>
      <w:r>
        <w:t xml:space="preserve">The M3</w:t>
      </w:r>
    </w:p>
    <w:p>
      <w:pPr>
        <w:pStyle w:val="BodyText"/>
      </w:pPr>
      <w:r>
        <w:t xml:space="preserve">joint test 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is statistically distinguishable from</w:t>
      </w:r>
      <w:r>
        <w:t xml:space="preserve"> </w:t>
      </w:r>
      <w:r>
        <w:t xml:space="preserve">zero in three of four panels (2009 p = .040, 2023 p = .027, pooled p = .003) and null only in</w:t>
      </w:r>
      <w:r>
        <w:t xml:space="preserve"> </w:t>
      </w:r>
      <w:r>
        <w:t xml:space="preserve">2015 (p = .713). Pooled, the linear interaction is negative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-0.587, p =</w:t>
      </w:r>
      <w:r>
        <w:t xml:space="preserve"> </w:t>
      </w:r>
      <w:r>
        <w:t xml:space="preserve">.003) and the quadratic is positive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w:t>
      </w:r>
      <w:r>
        <w:t xml:space="preserve"> </w:t>
      </w:r>
      <m:oMath>
        <m:acc>
          <m:accPr>
            <m:chr m:val="̃"/>
          </m:accPr>
          <m:e>
            <m:r>
              <m:rPr>
                <m:sty m:val="p"/>
              </m:rPr>
              <m:t>T</m:t>
            </m:r>
            <m:r>
              <m:rPr>
                <m:sty m:val="p"/>
              </m:rPr>
              <m:t>C</m:t>
            </m:r>
            <m:r>
              <m:rPr>
                <m:sty m:val="p"/>
              </m:rPr>
              <m:t>I</m:t>
            </m:r>
          </m:e>
        </m:acc>
      </m:oMath>
      <w:r>
        <w:t xml:space="preserve"> </w:t>
      </w:r>
      <w:r>
        <w:t xml:space="preserve">=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r>
        <w:t xml:space="preserve"> </w:t>
      </w:r>
      <w:r>
        <w:t xml:space="preserve">shows that this conclusion would be incomplete.</w:t>
      </w:r>
    </w:p>
    <w:p>
      <w:pPr>
        <w:pStyle w:val="BodyText"/>
      </w:pPr>
      <w:r>
        <w:t xml:space="preserve">The wave-specific evidence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t xml:space="preserve">Figure 2a: Wave 2009: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t xml:space="preserve">Figure 2b: Wave 2015: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t xml:space="preserve">Figure 2c: Wave 2023: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t xml:space="preserve">Figure 2d: Pooled (2009+2015+2023):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38"/>
    <w:bookmarkStart w:id="39"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Vietnam pooled threshold of 39.7 % (range 39.3–46.2 % across waves) is notably lower than the manufacturing-subsample threshold of 47.8 % reported for Chinese private firms by Author Citation (2026, JFAR). This gap is consistent with institutional transaction costs binding earlier in Vietnam's lower-income emerging-economy context: Vietnamese exporters approach over-commitment costs at a lower absolute export-intensity level than their Chinese counterparts, where more mature contract-enforcement institutions, larger domestic markets, and more established export-support infrastructure allow firms to sustain higher export intensity before productivity returns diminish. The cross-country threshold difference thus provides within-WBES cross-setting evidence for the institutional-context channel identified in meta-analyses of the I–P relationship (Wu, Fan, &amp; Chen, 2022, MIR; Marano et al., 2016).</w:t>
      </w:r>
    </w:p>
    <w:p>
      <w:pPr>
        <w:pStyle w:val="BodyText"/>
      </w:pPr>
      <w:r>
        <w:t xml:space="preserve">H2 is supported by the positive</w:t>
      </w:r>
      <w:r>
        <w:t xml:space="preserve"> </w:t>
      </w:r>
      <m:oMath>
        <m:acc>
          <m:accPr>
            <m:chr m:val="̃"/>
          </m:accPr>
          <m:e>
            <m:r>
              <m:rPr>
                <m:sty m:val="p"/>
              </m:rPr>
              <m:t>T</m:t>
            </m:r>
            <m:r>
              <m:rPr>
                <m:sty m:val="p"/>
              </m:rPr>
              <m:t>C</m:t>
            </m:r>
            <m:r>
              <m:rPr>
                <m:sty m:val="p"/>
              </m:rPr>
              <m:t>I</m:t>
            </m:r>
          </m:e>
        </m:acc>
      </m:oMath>
      <w:r>
        <w:t xml:space="preserve"> </w:t>
      </w:r>
      <w:r>
        <w:t xml:space="preserve">direct association in the pooled sample (β = 0.179, p &lt; .001) and in all three wavespecific periods (2009 p &lt; .001; 2015 p = .010; 2023 p = .006), reinforced by statistically distinguishable TCI moderation in three of four panels (M3 joint p = .040,</w:t>
      </w:r>
      <w:r>
        <w:t xml:space="preserve"> </w:t>
      </w:r>
      <w:r>
        <w:t xml:space="preserve">.713, .027 and .003). H3 is supported on average but not uniformly across waves:</w:t>
      </w:r>
      <w:r>
        <w:t xml:space="preserve"> </w:t>
      </w:r>
      <w:r>
        <w:t xml:space="preserve">the pooled M7 estimate of</w:t>
      </w:r>
      <w:r>
        <w:t xml:space="preserve"> </w:t>
      </w:r>
      <m:oMath>
        <m:acc>
          <m:accPr>
            <m:chr m:val="̃"/>
          </m:accPr>
          <m:e>
            <m:r>
              <m:rPr>
                <m:sty m:val="p"/>
              </m:rPr>
              <m:t>D</m:t>
            </m:r>
            <m:r>
              <m:rPr>
                <m:sty m:val="p"/>
              </m:rPr>
              <m:t>A</m:t>
            </m:r>
            <m:r>
              <m:rPr>
                <m:sty m:val="p"/>
              </m:rPr>
              <m:t>I</m:t>
            </m:r>
          </m:e>
        </m:acc>
      </m:oMath>
      <w:r>
        <w:t xml:space="preserve"> </w:t>
      </w:r>
      <w:r>
        <w:t xml:space="preserve">is positive and significant (β = 0.078, p = .004),</w:t>
      </w:r>
      <w:r>
        <w:t xml:space="preserve"> </w:t>
      </w:r>
      <w:r>
        <w:t xml:space="preserve">but</w:t>
      </w:r>
      <w:r>
        <w:t xml:space="preserve"> </w:t>
      </w:r>
      <m:oMath>
        <m:acc>
          <m:accPr>
            <m:chr m:val="̃"/>
          </m:accPr>
          <m:e>
            <m:r>
              <m:rPr>
                <m:sty m:val="p"/>
              </m:rPr>
              <m:t>D</m:t>
            </m:r>
            <m:r>
              <m:rPr>
                <m:sty m:val="p"/>
              </m:rPr>
              <m:t>A</m:t>
            </m:r>
            <m:r>
              <m:rPr>
                <m:sty m:val="p"/>
              </m:rPr>
              <m:t>I</m:t>
            </m:r>
          </m:e>
        </m:acc>
      </m:oMath>
      <w:r>
        <w:t xml:space="preserve"> </w:t>
      </w:r>
      <w:r>
        <w:t xml:space="preserve">varies sharply across waves, strong in 2009 (β = 0.175, p &lt; .001), null</w:t>
      </w:r>
    </w:p>
    <w:p>
      <w:pPr>
        <w:pStyle w:val="BodyText"/>
      </w:pPr>
      <w:r>
        <w:t xml:space="preserve">in 2015 (β = -0.044, p = .377) and re-emerging in 2023 (β = 0.095, p = .038). The</w:t>
      </w:r>
      <w:r>
        <w:t xml:space="preserve"> </w:t>
      </w:r>
      <w:r>
        <w:t xml:space="preserve">Paternoster cross-wave z-tests (4.5, Panel F) confirm that the 2009-to-2015 fall (z</w:t>
      </w:r>
      <w:r>
        <w:t xml:space="preserve"> </w:t>
      </w:r>
      <w:r>
        <w:t xml:space="preserve">= 3.353, p &lt; .001) and the 2015-to-2023 recovery (z = -2.051, p = .040) are both</w:t>
      </w:r>
      <w:r>
        <w:t xml:space="preserve"> </w:t>
      </w:r>
      <w:r>
        <w:t xml:space="preserve">statistically distinguishable shifts.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and</w:t>
      </w:r>
      <w:r>
        <w:t xml:space="preserve"> </w:t>
      </w:r>
      <w:r>
        <w:t xml:space="preserve">the joint test at M4 p = .102, M8 p = .062. The pooled M8 joint test (p = .083)</w:t>
      </w:r>
      <w:r>
        <w:t xml:space="preserve"> </w:t>
      </w:r>
      <w:r>
        <w:t xml:space="preserve">is also at marginal significance,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w:t>
      </w:r>
      <w:r>
        <w:t xml:space="preserve"> </w:t>
      </w:r>
      <m:oMath>
        <m:sSup>
          <m:e>
            <m:r>
              <m:rPr>
                <m:sty m:val="p"/>
              </m:rPr>
              <m:t>F</m:t>
            </m:r>
            <m:r>
              <m:rPr>
                <m:sty m:val="p"/>
              </m:rPr>
              <m:t>S</m:t>
            </m:r>
            <m:r>
              <m:rPr>
                <m:sty m:val="p"/>
              </m:rPr>
              <m:t>T</m:t>
            </m:r>
            <m:r>
              <m:rPr>
                <m:sty m:val="p"/>
              </m:rPr>
              <m:t>S</m:t>
            </m:r>
          </m:e>
          <m:sup>
            <m:r>
              <m:t>2</m:t>
            </m:r>
          </m:sup>
        </m:sSup>
      </m:oMath>
      <w:r>
        <w:t xml:space="preserve"> </w:t>
      </w:r>
      <w:r>
        <w:t xml:space="preserve">× DAI is not): the moderator shifts the position of the turning point but preserves the inverted-U shape. Type II moderation flips the shape of the curve (i.e.,</w:t>
      </w:r>
      <w:r>
        <w:t xml:space="preserve"> </w:t>
      </w:r>
      <m:oMath>
        <m:sSup>
          <m:e>
            <m:r>
              <m:rPr>
                <m:sty m:val="p"/>
              </m:rPr>
              <m:t>F</m:t>
            </m:r>
            <m:r>
              <m:rPr>
                <m:sty m:val="p"/>
              </m:rPr>
              <m:t>S</m:t>
            </m:r>
            <m:r>
              <m:rPr>
                <m:sty m:val="p"/>
              </m:rPr>
              <m:t>T</m:t>
            </m:r>
            <m:r>
              <m:rPr>
                <m:sty m:val="p"/>
              </m:rPr>
              <m:t>S</m:t>
            </m:r>
          </m:e>
          <m:sup>
            <m:r>
              <m:t>2</m:t>
            </m:r>
          </m:sup>
        </m:sSup>
      </m:oMath>
      <w:r>
        <w:t xml:space="preserve"> </w:t>
      </w:r>
      <w:r>
        <w:t xml:space="preserve">× DAI is significant): high versus low moderator values produce qualitatively different functional forms. The 2023 DAI evidence fits Type I: the significant linear interaction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indicates that digital adoption attenuates the positive slope at low export intensity, pulling the turning point inward, while the</w:t>
      </w:r>
      <w:r>
        <w:t xml:space="preserve"> </w:t>
      </w:r>
      <m:oMath>
        <m:sSup>
          <m:e>
            <m:r>
              <m:rPr>
                <m:sty m:val="p"/>
              </m:rPr>
              <m:t>F</m:t>
            </m:r>
            <m:r>
              <m:rPr>
                <m:sty m:val="p"/>
              </m:rPr>
              <m:t>S</m:t>
            </m:r>
            <m:r>
              <m:rPr>
                <m:sty m:val="p"/>
              </m:rPr>
              <m:t>T</m:t>
            </m:r>
            <m:r>
              <m:rPr>
                <m:sty m:val="p"/>
              </m:rPr>
              <m:t>S</m:t>
            </m:r>
          </m:e>
          <m:sup>
            <m:r>
              <m:t>2</m:t>
            </m:r>
          </m:sup>
        </m:sSup>
      </m:oMath>
      <w:r>
        <w:t xml:space="preserve"> </w:t>
      </w:r>
      <w:r>
        <w:t xml:space="preserve">× DAI interaction remains insignificant, confirming that the inverted-U shape is preserved. Type II moderation, digital capability reversing the curvature for high-adopter firms, is not supported in the Vietnam sample.</w:t>
      </w:r>
    </w:p>
    <w:p>
      <w:pPr>
        <w:pStyle w:val="BodyText"/>
      </w:pPr>
      <w:r>
        <w:t xml:space="preserve">Figure 3: Moderator marginal effects. TCI and DAI interactions with FSTS (Vietnam)</w:t>
      </w:r>
    </w:p>
    <w:p>
      <w:pPr>
        <w:pStyle w:val="BodyText"/>
      </w:pPr>
      <w:r>
        <w:rPr>
          <w:iCs/>
          <w:i/>
        </w:rPr>
        <w:t xml:space="preserve">Figure 3.</w:t>
      </w:r>
      <w:r>
        <w:t xml:space="preserve"> </w:t>
      </w:r>
      <w:r>
        <w:t xml:space="preserve">Marginal effects of</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on ln(labour productivity) across FSTS levels (M7/M8). TCI shows a stable positive level-shift across waves; DAI moderation is wave-specific, with the 2023 interaction showing attenuation at high FSTS (Type I moderation: slope-flattening, shape preserved).</w:t>
      </w:r>
    </w:p>
    <w:bookmarkEnd w:id="39"/>
    <w:bookmarkStart w:id="40"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is negative (β = -0.861, p &lt; .001) but the quadratic term is not significant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β</w:t>
      </w:r>
    </w:p>
    <w:p>
      <w:pPr>
        <w:pStyle w:val="BodyText"/>
      </w:pPr>
      <w:r>
        <w:t xml:space="preserve">=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1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1 summarises the directional interpretation of the focal coefficients from the full specifications by wave and for the pooled sample.</w:t>
      </w:r>
    </w:p>
    <w:bookmarkEnd w:id="40"/>
    <w:bookmarkStart w:id="42"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Sector split (manufacturing versus non-manufacturing).</w:t>
      </w:r>
    </w:p>
    <w:p>
      <w:pPr>
        <w:pStyle w:val="BodyText"/>
      </w:pPr>
      <w:r>
        <w:t xml:space="preserve">To test whether the</w:t>
      </w:r>
    </w:p>
    <w:p>
      <w:pPr>
        <w:pStyle w:val="BodyText"/>
      </w:pPr>
      <w:r>
        <w:t xml:space="preserve">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w:t>
      </w:r>
    </w:p>
    <w:p>
      <w:pPr>
        <w:pStyle w:val="BodyText"/>
      </w:pPr>
      <w:r>
        <w:t xml:space="preserve">manufacturing (</w:t>
      </w:r>
      <m:oMath>
        <m:sSup>
          <m:e>
            <m:r>
              <m:rPr>
                <m:sty m:val="p"/>
              </m:rPr>
              <m:t>F</m:t>
            </m:r>
            <m:r>
              <m:rPr>
                <m:sty m:val="p"/>
              </m:rPr>
              <m:t>S</m:t>
            </m:r>
            <m:r>
              <m:rPr>
                <m:sty m:val="p"/>
              </m:rPr>
              <m:t>T</m:t>
            </m:r>
            <m:r>
              <m:rPr>
                <m:sty m:val="p"/>
              </m:rPr>
              <m:t>S</m:t>
            </m:r>
          </m:e>
          <m:sup>
            <m:r>
              <m:t>c</m:t>
            </m:r>
          </m:sup>
        </m:sSup>
      </m:oMath>
      <w:r>
        <w:t xml:space="preserve"> </w:t>
      </w:r>
      <w:r>
        <w:t xml:space="preserve">β = 0.971, p = .001;</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β = -1.883, p &lt; .001) than in non-</w:t>
      </w:r>
    </w:p>
    <w:p>
      <w:pPr>
        <w:pStyle w:val="BodyText"/>
      </w:pPr>
      <w:r>
        <w:t xml:space="preserve">manufacturing (</w:t>
      </w:r>
      <m:oMath>
        <m:sSup>
          <m:e>
            <m:r>
              <m:rPr>
                <m:sty m:val="p"/>
              </m:rPr>
              <m:t>F</m:t>
            </m:r>
            <m:r>
              <m:rPr>
                <m:sty m:val="p"/>
              </m:rPr>
              <m:t>S</m:t>
            </m:r>
            <m:r>
              <m:rPr>
                <m:sty m:val="p"/>
              </m:rPr>
              <m:t>T</m:t>
            </m:r>
            <m:r>
              <m:rPr>
                <m:sty m:val="p"/>
              </m:rPr>
              <m:t>S</m:t>
            </m:r>
          </m:e>
          <m:sup>
            <m:r>
              <m:t>c</m:t>
            </m:r>
          </m:sup>
        </m:sSup>
      </m:oMath>
      <w:r>
        <w:t xml:space="preserve"> </w:t>
      </w:r>
      <w:r>
        <w:t xml:space="preserve">β = 1.615, p = .064, marginal;</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β = -2.479, p = .046).</w:t>
      </w:r>
    </w:p>
    <w:p>
      <w:pPr>
        <w:pStyle w:val="BodyText"/>
      </w:pPr>
      <w:r>
        <w:t xml:space="preserve">More substantively, the capability and digital-adoption channels operate primarily in manufacturing.</w:t>
      </w:r>
    </w:p>
    <w:p>
      <w:pPr>
        <w:pStyle w:val="BodyText"/>
      </w:pPr>
      <w:r>
        <w:t xml:space="preserve">In the M7 dual-direct specification, manufacturing firms display a strong</w:t>
      </w:r>
      <w:r>
        <w:t xml:space="preserve"> </w:t>
      </w:r>
      <m:oMath>
        <m:acc>
          <m:accPr>
            <m:chr m:val="̃"/>
          </m:accPr>
          <m:e>
            <m:r>
              <m:rPr>
                <m:sty m:val="p"/>
              </m:rPr>
              <m:t>T</m:t>
            </m:r>
            <m:r>
              <m:rPr>
                <m:sty m:val="p"/>
              </m:rPr>
              <m:t>C</m:t>
            </m:r>
            <m:r>
              <m:rPr>
                <m:sty m:val="p"/>
              </m:rPr>
              <m:t>I</m:t>
            </m:r>
          </m:e>
        </m:acc>
      </m:oMath>
    </w:p>
    <w:p>
      <w:pPr>
        <w:pStyle w:val="BodyText"/>
      </w:pPr>
      <w:r>
        <w:t xml:space="preserve">direct association (β = 0.223, p &lt; .001) and a positive</w:t>
      </w:r>
      <w:r>
        <w:t xml:space="preserve"> </w:t>
      </w:r>
      <m:oMath>
        <m:acc>
          <m:accPr>
            <m:chr m:val="̃"/>
          </m:accPr>
          <m:e>
            <m:r>
              <m:rPr>
                <m:sty m:val="p"/>
              </m:rPr>
              <m:t>D</m:t>
            </m:r>
            <m:r>
              <m:rPr>
                <m:sty m:val="p"/>
              </m:rPr>
              <m:t>A</m:t>
            </m:r>
            <m:r>
              <m:rPr>
                <m:sty m:val="p"/>
              </m:rPr>
              <m:t>I</m:t>
            </m:r>
          </m:e>
        </m:acc>
      </m:oMath>
      <w:r>
        <w:t xml:space="preserve"> </w:t>
      </w:r>
      <w:r>
        <w:t xml:space="preserve">direct association (β = 0.087,</w:t>
      </w:r>
      <w:r>
        <w:t xml:space="preserve"> </w:t>
      </w:r>
      <w:r>
        <w:t xml:space="preserve">p = .009), while non-manufacturing firms show only a marginal</w:t>
      </w:r>
      <w:r>
        <w:t xml:space="preserve"> </w:t>
      </w:r>
      <m:oMath>
        <m:acc>
          <m:accPr>
            <m:chr m:val="̃"/>
          </m:accPr>
          <m:e>
            <m:r>
              <m:rPr>
                <m:sty m:val="p"/>
              </m:rPr>
              <m:t>T</m:t>
            </m:r>
            <m:r>
              <m:rPr>
                <m:sty m:val="p"/>
              </m:rPr>
              <m:t>C</m:t>
            </m:r>
            <m:r>
              <m:rPr>
                <m:sty m:val="p"/>
              </m:rPr>
              <m:t>I</m:t>
            </m:r>
          </m:e>
        </m:acc>
      </m:oMath>
      <w:r>
        <w:t xml:space="preserve"> </w:t>
      </w:r>
      <w:r>
        <w:t xml:space="preserve">effect (β = 0.090, p =</w:t>
      </w:r>
      <w:r>
        <w:t xml:space="preserve"> </w:t>
      </w:r>
      <w:r>
        <w:t xml:space="preserve">.096) and a null</w:t>
      </w:r>
      <w:r>
        <w:t xml:space="preserve"> </w:t>
      </w:r>
      <m:oMath>
        <m:acc>
          <m:accPr>
            <m:chr m:val="̃"/>
          </m:accPr>
          <m:e>
            <m:r>
              <m:rPr>
                <m:sty m:val="p"/>
              </m:rPr>
              <m:t>D</m:t>
            </m:r>
            <m:r>
              <m:rPr>
                <m:sty m:val="p"/>
              </m:rPr>
              <m:t>A</m:t>
            </m:r>
            <m:r>
              <m:rPr>
                <m:sty m:val="p"/>
              </m:rPr>
              <m:t>I</m:t>
            </m:r>
          </m:e>
        </m:acc>
      </m:oMath>
      <w:r>
        <w:t xml:space="preserve"> </w:t>
      </w:r>
      <w:r>
        <w:t xml:space="preserve">effect (β = 0.068, p = .133). The DAI moderation channel is concentrated in manufacturing (M8 joint p = .103, marginal;</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(β = -0.861, p &lt; .001)</w:t>
      </w:r>
      <w:r>
        <w:t xml:space="preserve"> </w:t>
      </w:r>
      <w:r>
        <w:t xml:space="preserve">but a non-significant quadratic term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β = -0.200, p = .660), and the joint M8 test of the</w:t>
      </w:r>
    </w:p>
    <w:p>
      <w:pPr>
        <w:pStyle w:val="BodyText"/>
      </w:pPr>
      <w:r>
        <w:t xml:space="preserve">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w:t>
      </w:r>
      <m:oMath>
        <m:sSup>
          <m:e>
            <m:r>
              <m:rPr>
                <m:sty m:val="p"/>
              </m:rPr>
              <m:t>F</m:t>
            </m:r>
            <m:r>
              <m:rPr>
                <m:sty m:val="p"/>
              </m:rPr>
              <m:t>S</m:t>
            </m:r>
            <m:r>
              <m:rPr>
                <m:sty m:val="p"/>
              </m:rPr>
              <m:t>T</m:t>
            </m:r>
            <m:r>
              <m:rPr>
                <m:sty m:val="p"/>
              </m:rPr>
              <m:t>S</m:t>
            </m:r>
          </m:e>
          <m:sup>
            <m:r>
              <m:t>c</m:t>
            </m:r>
          </m:sup>
        </m:sSup>
      </m:oMath>
    </w:p>
    <w:p>
      <w:pPr>
        <w:pStyle w:val="BodyText"/>
      </w:pPr>
      <w:r>
        <w:t xml:space="preserve">× wave,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wave,</w:t>
      </w:r>
      <w:r>
        <w:t xml:space="preserve"> </w:t>
      </w:r>
      <m:oMath>
        <m:acc>
          <m:accPr>
            <m:chr m:val="̃"/>
          </m:accPr>
          <m:e>
            <m:r>
              <m:rPr>
                <m:sty m:val="p"/>
              </m:rPr>
              <m:t>D</m:t>
            </m:r>
            <m:r>
              <m:rPr>
                <m:sty m:val="p"/>
              </m:rPr>
              <m:t>A</m:t>
            </m:r>
            <m:r>
              <m:rPr>
                <m:sty m:val="p"/>
              </m:rPr>
              <m:t>I</m:t>
            </m:r>
          </m:e>
        </m:acc>
      </m:oMath>
      <w:r>
        <w:t xml:space="preserve"> </w:t>
      </w:r>
      <w:r>
        <w:t xml:space="preserve">× wave,</w:t>
      </w:r>
      <w:r>
        <w:t xml:space="preserve"> </w:t>
      </w:r>
      <m:oMath>
        <m:acc>
          <m:accPr>
            <m:chr m:val="̃"/>
          </m:accPr>
          <m:e>
            <m:r>
              <m:rPr>
                <m:sty m:val="p"/>
              </m:rPr>
              <m:t>T</m:t>
            </m:r>
            <m:r>
              <m:rPr>
                <m:sty m:val="p"/>
              </m:rPr>
              <m:t>C</m:t>
            </m:r>
            <m:r>
              <m:rPr>
                <m:sty m:val="p"/>
              </m:rPr>
              <m:t>I</m:t>
            </m:r>
          </m:e>
        </m:acc>
      </m:oMath>
      <w:r>
        <w:t xml:space="preserve"> </w:t>
      </w:r>
      <w:r>
        <w:t xml:space="preserve">× wave). The joint Wald tests show that</w:t>
      </w:r>
      <w:r>
        <w:t xml:space="preserve"> </w:t>
      </w:r>
      <w:r>
        <w:t xml:space="preserve">only</w:t>
      </w:r>
      <w:r>
        <w:t xml:space="preserve"> </w:t>
      </w:r>
      <m:oMath>
        <m:acc>
          <m:accPr>
            <m:chr m:val="̃"/>
          </m:accPr>
          <m:e>
            <m:r>
              <m:rPr>
                <m:sty m:val="p"/>
              </m:rPr>
              <m:t>D</m:t>
            </m:r>
            <m:r>
              <m:rPr>
                <m:sty m:val="p"/>
              </m:rPr>
              <m:t>A</m:t>
            </m:r>
            <m:r>
              <m:rPr>
                <m:sty m:val="p"/>
              </m:rPr>
              <m:t>I</m:t>
            </m:r>
          </m:e>
        </m:acc>
      </m:oMath>
      <w:r>
        <w:t xml:space="preserve"> </w:t>
      </w:r>
      <w:r>
        <w:t xml:space="preserve">× wave is statistically distinguishable from the pooled average (joint p = .016); the</w:t>
      </w:r>
    </w:p>
    <w:p>
      <w:pPr>
        <w:pStyle w:val="BodyText"/>
      </w:pPr>
      <w:r>
        <w:t xml:space="preserve">and</w:t>
      </w:r>
      <w:r>
        <w:t xml:space="preserve"> </w:t>
      </w:r>
      <m:oMath>
        <m:acc>
          <m:accPr>
            <m:chr m:val="̃"/>
          </m:accPr>
          <m:e>
            <m:r>
              <m:rPr>
                <m:sty m:val="p"/>
              </m:rPr>
              <m:t>T</m:t>
            </m:r>
            <m:r>
              <m:rPr>
                <m:sty m:val="p"/>
              </m:rPr>
              <m:t>C</m:t>
            </m:r>
            <m:r>
              <m:rPr>
                <m:sty m:val="p"/>
              </m:rPr>
              <m:t>I</m:t>
            </m:r>
          </m:e>
        </m:acc>
      </m:oMath>
      <w:r>
        <w:t xml:space="preserve"> </w:t>
      </w:r>
      <w:r>
        <w:t xml:space="preserve">direct-effect cross-wave differences are not statistically separable</w:t>
      </w:r>
      <w:r>
        <w:t xml:space="preserve"> </w:t>
      </w:r>
      <w:r>
        <w:t xml:space="preserve">(all joint p &gt; .25), and the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and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cross-wave differences</w:t>
      </w:r>
      <w:r>
        <w:t xml:space="preserve"> </w:t>
      </w:r>
      <m:oMath>
        <m:sSup>
          <m:e>
            <m:r>
              <m:rPr>
                <m:sty m:val="p"/>
              </m:rPr>
              <m:t>F</m:t>
            </m:r>
            <m:r>
              <m:rPr>
                <m:sty m:val="p"/>
              </m:rPr>
              <m:t>S</m:t>
            </m:r>
            <m:r>
              <m:rPr>
                <m:sty m:val="p"/>
              </m:rPr>
              <m:t>T</m:t>
            </m:r>
            <m:r>
              <m:rPr>
                <m:sty m:val="p"/>
              </m:rPr>
              <m:t>S</m:t>
            </m:r>
          </m:e>
          <m:sup>
            <m:r>
              <m:t>c</m:t>
            </m:r>
          </m:sup>
        </m:sSup>
      </m:oMath>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Density-around-turning-point check. We also report the within-sample mass of firms in the</w:t>
      </w:r>
      <w:r>
        <w:t xml:space="preserve"> </w:t>
      </w:r>
      <w:r>
        <w:t xml:space="preserve">curvature zone.</w:t>
      </w:r>
    </w:p>
    <w:p>
      <w:pPr>
        <w:pStyle w:val="BodyText"/>
      </w:pPr>
      <w:r>
        <w:t xml:space="preserve">Defining a ±5 percentage-point band around the wave-specific turning point</w:t>
      </w:r>
    </w:p>
    <w:p>
      <w:pPr>
        <w:pStyle w:val="BodyText"/>
      </w:pPr>
      <w:r>
        <w:t xml:space="preserve">(TP), the share of firms with FSTS within the band is 0.6 % (6 of 989) in 2009, 1.2 % (11 of</w:t>
      </w:r>
    </w:p>
    <w:p>
      <w:pPr>
        <w:numPr>
          <w:ilvl w:val="0"/>
          <w:numId w:val="1002"/>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41"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Heckman two-step corrections (Panel E) yield insignificant inverse-Mills ratios across all waves (all |λ| &lt; 0.84, p &gt; .25), indicating no detectable selection bias on the exporter subsample. Propensity-score matching (Panel J) corroborates the average H2 and H3 associations without imposing linearity: ATT estimates for website ownership (0.298–0.321, p &lt; .001) and for foreign-technology / certification status (0.609–0.637, p &lt; .001) are substantively consistent with the OLS results.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w:t>
      </w:r>
      <w:r>
        <w:t xml:space="preserve"> </w:t>
      </w:r>
      <m:oMath>
        <m:sSub>
          <m:e>
            <m:r>
              <m:rPr>
                <m:sty m:val="p"/>
              </m:rPr>
              <m:t>D</m:t>
            </m:r>
            <m:r>
              <m:rPr>
                <m:sty m:val="p"/>
              </m:rPr>
              <m:t>A</m:t>
            </m:r>
            <m:r>
              <m:rPr>
                <m:sty m:val="p"/>
              </m:rPr>
              <m:t>I</m:t>
            </m:r>
          </m:e>
          <m:sub>
            <m:r>
              <m:rPr>
                <m:nor/>
                <m:sty m:val="p"/>
              </m:rPr>
              <m:t>rich</m:t>
            </m:r>
          </m:sub>
        </m:sSub>
      </m:oMath>
      <w:r>
        <w:t xml:space="preserve"> </w:t>
      </w:r>
      <w:r>
        <w:t xml:space="preserve">composite (Tier 1–2, Panel B) yields directionally consistent moderation in 2023 with weaker significance. Micro-firm exclusion (Panel D) preserves the inverted-U and TCI associations. Paternoster et al. cross-wave z-tests (Panel F) confirm that the DAI lifecycle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Section 5 rely on the pattern across panels and the directional consistency of the focal estimates rather than on the significance of any single robustness panel.</w:t>
      </w:r>
      <w:r>
        <w:t xml:space="preserve"> </w:t>
      </w:r>
      <w:r>
        <w:t xml:space="preserve">Table 3 collates the robustness panels documented in 4.5 in a single overview to ease crosscomparison.</w:t>
      </w:r>
      <w:r>
        <w:t xml:space="preserve"> </w:t>
      </w:r>
      <w:r>
        <w:t xml:space="preserve">Table 4 reports the implied turning points of the inverted-U specification (M2) and the</w:t>
      </w:r>
      <w:r>
        <w:t xml:space="preserve"> </w:t>
      </w:r>
      <w:r>
        <w:t xml:space="preserve">Lind–Mehlum p-values for each wave and the pooled sample.</w:t>
      </w:r>
    </w:p>
    <w:p>
      <w:pPr>
        <w:pStyle w:val="BodyText"/>
      </w:pPr>
      <w:r>
        <w:t xml:space="preserve">Table 3: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m:oMath>
              <m:acc>
                <m:accPr>
                  <m:chr m:val="̃"/>
                </m:accPr>
                <m:e>
                  <m:r>
                    <m:rPr>
                      <m:sty m:val="p"/>
                    </m:rPr>
                    <m:t>D</m:t>
                  </m:r>
                  <m:r>
                    <m:rPr>
                      <m:sty m:val="p"/>
                    </m:rPr>
                    <m:t>A</m:t>
                  </m:r>
                  <m:r>
                    <m:rPr>
                      <m:sty m:val="p"/>
                    </m:rPr>
                    <m:t>I</m:t>
                  </m:r>
                </m:e>
              </m:acc>
            </m:oMath>
            <w:r>
              <w:t xml:space="preserve"> </w:t>
            </w:r>
            <w:r>
              <w:t xml:space="preserve">(instrumented)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m:oMath>
              <m:acc>
                <m:accPr>
                  <m:chr m:val="̃"/>
                </m:accPr>
                <m:e>
                  <m:r>
                    <m:rPr>
                      <m:sty m:val="p"/>
                    </m:rPr>
                    <m:t>T</m:t>
                  </m:r>
                  <m:r>
                    <m:rPr>
                      <m:sty m:val="p"/>
                    </m:rPr>
                    <m:t>C</m:t>
                  </m:r>
                  <m:r>
                    <m:rPr>
                      <m:sty m:val="p"/>
                    </m:rPr>
                    <m:t>I</m:t>
                  </m:r>
                </m:e>
              </m:acc>
            </m:oMath>
            <w:r>
              <w:t xml:space="preserve"> </w:t>
            </w:r>
            <w:r>
              <w:t xml:space="preserve">(instrumented)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w:t>
      </w:r>
      <w:r>
        <w:t xml:space="preserve"> </w:t>
      </w:r>
      <m:oMath>
        <m:sSub>
          <m:e>
            <m:r>
              <m:rPr>
                <m:sty m:val="p"/>
              </m:rPr>
              <m:t>T</m:t>
            </m:r>
            <m:r>
              <m:rPr>
                <m:sty m:val="p"/>
              </m:rPr>
              <m:t>C</m:t>
            </m:r>
            <m:r>
              <m:rPr>
                <m:sty m:val="p"/>
              </m:rPr>
              <m:t>I</m:t>
            </m:r>
          </m:e>
          <m:sub>
            <m:r>
              <m:rPr>
                <m:nor/>
                <m:sty m:val="p"/>
              </m:rPr>
              <m:t>full</m:t>
            </m:r>
          </m:sub>
        </m:sSub>
      </m:oMath>
      <w:r>
        <w:t xml:space="preserve"> </w:t>
      </w:r>
      <w:r>
        <w:t xml:space="preserve">= broader TCI composite;</w:t>
      </w:r>
      <w:r>
        <w:t xml:space="preserve"> </w:t>
      </w:r>
      <m:oMath>
        <m:sSub>
          <m:e>
            <m:r>
              <m:rPr>
                <m:sty m:val="p"/>
              </m:rPr>
              <m:t>D</m:t>
            </m:r>
            <m:r>
              <m:rPr>
                <m:sty m:val="p"/>
              </m:rPr>
              <m:t>A</m:t>
            </m:r>
            <m:r>
              <m:rPr>
                <m:sty m:val="p"/>
              </m:rPr>
              <m:t>I</m:t>
            </m:r>
          </m:e>
          <m:sub>
            <m:r>
              <m:rPr>
                <m:nor/>
                <m:sty m:val="p"/>
              </m:rPr>
              <m:t>rich</m:t>
            </m:r>
          </m:sub>
        </m:sSub>
      </m:oMath>
      <w:r>
        <w:t xml:space="preserve"> </w:t>
      </w:r>
      <w:r>
        <w:t xml:space="preserve">=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w:t>
      </w:r>
      <w:r>
        <w:t xml:space="preserve"> </w:t>
      </w:r>
      <m:oMath>
        <m:sSub>
          <m:e>
            <m:r>
              <m:rPr>
                <m:sty m:val="p"/>
              </m:rPr>
              <m:t>T</m:t>
            </m:r>
            <m:r>
              <m:rPr>
                <m:sty m:val="p"/>
              </m:rPr>
              <m:t>C</m:t>
            </m:r>
            <m:r>
              <m:rPr>
                <m:sty m:val="p"/>
              </m:rPr>
              <m:t>I</m:t>
            </m:r>
          </m:e>
          <m:sub>
            <m:r>
              <m:rPr>
                <m:nor/>
                <m:sty m:val="p"/>
              </m:rPr>
              <m:t>full</m:t>
            </m:r>
          </m:sub>
        </m:sSub>
      </m:oMath>
      <w:r>
        <w:t xml:space="preserve"> </w:t>
      </w:r>
      <w:r>
        <w:t xml:space="preserve">direct (2015)</w:t>
      </w:r>
      <w:r>
        <w:t xml:space="preserve"> </w:t>
      </w:r>
      <w:r>
        <w:t xml:space="preserve">956 TCI_full_z = 0.056 (p = .253) n.s.;</w:t>
      </w:r>
      <w:r>
        <w:t xml:space="preserve"> </w:t>
      </w:r>
      <m:oMath>
        <m:acc>
          <m:accPr>
            <m:chr m:val="̃"/>
          </m:accPr>
          <m:e>
            <m:r>
              <m:rPr>
                <m:sty m:val="p"/>
              </m:rPr>
              <m:t>D</m:t>
            </m:r>
            <m:r>
              <m:rPr>
                <m:sty m:val="p"/>
              </m:rPr>
              <m:t>A</m:t>
            </m:r>
            <m:r>
              <m:rPr>
                <m:sty m:val="p"/>
              </m:rPr>
              <m:t>I</m:t>
            </m:r>
          </m:e>
        </m:acc>
      </m:oMath>
      <w:r>
        <w:t xml:space="preserve"> </w:t>
      </w:r>
      <w:r>
        <w:t xml:space="preserve">= M3 joint p = .492 n.s.</w:t>
      </w:r>
      <w:r>
        <w:t xml:space="preserve"> </w:t>
      </w:r>
      <w:r>
        <w:t xml:space="preserve">−0.033 n.s.</w:t>
      </w:r>
      <w:r>
        <w:t xml:space="preserve"> </w:t>
      </w:r>
      <w:r>
        <w:t xml:space="preserve">A.</w:t>
      </w:r>
      <w:r>
        <w:t xml:space="preserve"> </w:t>
      </w:r>
      <m:oMath>
        <m:sSub>
          <m:e>
            <m:r>
              <m:rPr>
                <m:sty m:val="p"/>
              </m:rPr>
              <m:t>T</m:t>
            </m:r>
            <m:r>
              <m:rPr>
                <m:sty m:val="p"/>
              </m:rPr>
              <m:t>C</m:t>
            </m:r>
            <m:r>
              <m:rPr>
                <m:sty m:val="p"/>
              </m:rPr>
              <m:t>I</m:t>
            </m:r>
          </m:e>
          <m:sub>
            <m:r>
              <m:rPr>
                <m:nor/>
                <m:sty m:val="p"/>
              </m:rPr>
              <m:t>full</m:t>
            </m:r>
          </m:sub>
        </m:sSub>
      </m:oMath>
      <w:r>
        <w:t xml:space="preserve"> </w:t>
      </w:r>
      <w:r>
        <w:t xml:space="preserve">direct (2023)</w:t>
      </w:r>
      <w:r>
        <w:t xml:space="preserve"> </w:t>
      </w:r>
      <w:r>
        <w:t xml:space="preserve">1,013 TCI_full_z = 0.096 (p = .024);</w:t>
      </w:r>
      <w:r>
        <w:t xml:space="preserve"> </w:t>
      </w:r>
      <m:oMath>
        <m:acc>
          <m:accPr>
            <m:chr m:val="̃"/>
          </m:accPr>
          <m:e>
            <m:r>
              <m:rPr>
                <m:sty m:val="p"/>
              </m:rPr>
              <m:t>D</m:t>
            </m:r>
            <m:r>
              <m:rPr>
                <m:sty m:val="p"/>
              </m:rPr>
              <m:t>A</m:t>
            </m:r>
            <m:r>
              <m:rPr>
                <m:sty m:val="p"/>
              </m:rPr>
              <m:t>I</m:t>
            </m:r>
          </m:e>
        </m:acc>
      </m:oMath>
      <w:r>
        <w:t xml:space="preserve"> </w:t>
      </w:r>
      <w:r>
        <w:t xml:space="preserve">= M3 joint p = .152 n.s.</w:t>
      </w:r>
      <w:r>
        <w:t xml:space="preserve"> </w:t>
      </w:r>
      <w:r>
        <w:t xml:space="preserve">0.097 (p = .037)</w:t>
      </w:r>
      <w:r>
        <w:t xml:space="preserve"> </w:t>
      </w:r>
      <w:r>
        <w:t xml:space="preserve">B.</w:t>
      </w:r>
      <w:r>
        <w:t xml:space="preserve"> </w:t>
      </w:r>
      <m:oMath>
        <m:sSub>
          <m:e>
            <m:r>
              <m:rPr>
                <m:sty m:val="p"/>
              </m:rPr>
              <m:t>D</m:t>
            </m:r>
            <m:r>
              <m:rPr>
                <m:sty m:val="p"/>
              </m:rPr>
              <m:t>A</m:t>
            </m:r>
            <m:r>
              <m:rPr>
                <m:sty m:val="p"/>
              </m:rPr>
              <m:t>I</m:t>
            </m:r>
          </m:e>
          <m:sub>
            <m:r>
              <m:rPr>
                <m:nor/>
                <m:sty m:val="p"/>
              </m:rPr>
              <m:t>rich</m:t>
            </m:r>
          </m:sub>
        </m:sSub>
      </m:oMath>
      <w:r>
        <w:t xml:space="preserve"> </w:t>
      </w:r>
      <w:r>
        <w:t xml:space="preserve">continuous (2023)</w:t>
      </w:r>
      <w:r>
        <w:t xml:space="preserve"> </w:t>
      </w:r>
      <w:r>
        <w:t xml:space="preserve">1,013</w:t>
      </w:r>
      <w:r>
        <w:t xml:space="preserve"> </w:t>
      </w:r>
      <m:oMath>
        <m:sSup>
          <m:e>
            <m:r>
              <m:rPr>
                <m:sty m:val="p"/>
              </m:rPr>
              <m:t>F</m:t>
            </m:r>
            <m:r>
              <m:rPr>
                <m:sty m:val="p"/>
              </m:rPr>
              <m:t>S</m:t>
            </m:r>
            <m:r>
              <m:rPr>
                <m:sty m:val="p"/>
              </m:rPr>
              <m:t>T</m:t>
            </m:r>
            <m:r>
              <m:rPr>
                <m:sty m:val="p"/>
              </m:rPr>
              <m:t>S</m:t>
            </m:r>
          </m:e>
          <m:sup>
            <m:r>
              <m:t>c</m:t>
            </m:r>
          </m:sup>
        </m:sSup>
      </m:oMath>
      <w:r>
        <w:t xml:space="preserve"> </w:t>
      </w:r>
      <w:r>
        <w:t xml:space="preserve">× DAI_rich_cont_z = −0.933 † (p M8 joint p = .099 †</w:t>
      </w:r>
      <w:r>
        <w:t xml:space="preserve"> </w:t>
      </w:r>
      <w:r>
        <w:t xml:space="preserve">= .076)</w:t>
      </w:r>
      <w:r>
        <w:t xml:space="preserve"> </w:t>
      </w:r>
      <w:r>
        <w:t xml:space="preserve">B.</w:t>
      </w:r>
      <w:r>
        <w:t xml:space="preserve"> </w:t>
      </w:r>
      <m:oMath>
        <m:sSub>
          <m:e>
            <m:r>
              <m:rPr>
                <m:sty m:val="p"/>
              </m:rPr>
              <m:t>D</m:t>
            </m:r>
            <m:r>
              <m:rPr>
                <m:sty m:val="p"/>
              </m:rPr>
              <m:t>A</m:t>
            </m:r>
            <m:r>
              <m:rPr>
                <m:sty m:val="p"/>
              </m:rPr>
              <m:t>I</m:t>
            </m:r>
          </m:e>
          <m:sub>
            <m:r>
              <m:rPr>
                <m:nor/>
                <m:sty m:val="p"/>
              </m:rPr>
              <m:t>rich</m:t>
            </m:r>
          </m:sub>
        </m:sSub>
      </m:oMath>
      <w:r>
        <w:t xml:space="preserve"> </w:t>
      </w:r>
      <w:r>
        <w:t xml:space="preserve">binary (2023)</w:t>
      </w:r>
      <w:r>
        <w:t xml:space="preserve"> </w:t>
      </w:r>
      <w:r>
        <w:t xml:space="preserve">1,013</w:t>
      </w:r>
      <w:r>
        <w:t xml:space="preserve"> </w:t>
      </w:r>
      <m:oMath>
        <m:sSup>
          <m:e>
            <m:r>
              <m:rPr>
                <m:sty m:val="p"/>
              </m:rPr>
              <m:t>F</m:t>
            </m:r>
            <m:r>
              <m:rPr>
                <m:sty m:val="p"/>
              </m:rPr>
              <m:t>S</m:t>
            </m:r>
            <m:r>
              <m:rPr>
                <m:sty m:val="p"/>
              </m:rPr>
              <m:t>T</m:t>
            </m:r>
            <m:r>
              <m:rPr>
                <m:sty m:val="p"/>
              </m:rPr>
              <m:t>S</m:t>
            </m:r>
          </m:e>
          <m:sup>
            <m:r>
              <m:t>c</m:t>
            </m:r>
          </m:sup>
        </m:sSup>
      </m:oMath>
      <w:r>
        <w:t xml:space="preserve"> </w:t>
      </w:r>
      <w:r>
        <w:t xml:space="preserve">× DAI_rich_bin_z = −0.893 (p = M8 joint p = .243 n.s.</w:t>
      </w:r>
      <w:r>
        <w:t xml:space="preserve"> </w:t>
      </w:r>
      <w:r>
        <w:t xml:space="preserve">.169) n.s.</w:t>
      </w:r>
      <w:r>
        <w:t xml:space="preserve"> </w:t>
      </w:r>
      <w:r>
        <w:t xml:space="preserve">C. Common-N reconciled (2023) 1,013</w:t>
      </w:r>
      <w:r>
        <w:t xml:space="preserve"> </w:t>
      </w:r>
      <m:oMath>
        <m:acc>
          <m:accPr>
            <m:chr m:val="̃"/>
          </m:accPr>
          <m:e>
            <m:r>
              <m:rPr>
                <m:sty m:val="p"/>
              </m:rPr>
              <m:t>D</m:t>
            </m:r>
            <m:r>
              <m:rPr>
                <m:sty m:val="p"/>
              </m:rPr>
              <m:t>A</m:t>
            </m:r>
            <m:r>
              <m:rPr>
                <m:sty m:val="p"/>
              </m:rPr>
              <m:t>I</m:t>
            </m:r>
          </m:e>
        </m:acc>
      </m:oMath>
      <w:r>
        <w:t xml:space="preserve"> </w:t>
      </w:r>
      <w:r>
        <w:t xml:space="preserve">moderation re-estimated on identical M8 joint p = .062 †</w:t>
      </w:r>
      <w:r>
        <w:t xml:space="preserve"> </w:t>
      </w:r>
      <w:r>
        <w:t xml:space="preserve">2023 sample</w:t>
      </w:r>
      <w:r>
        <w:t xml:space="preserve"> </w:t>
      </w:r>
      <w:r>
        <w:t xml:space="preserve">D. Micro-firm exclusion (l1 ≥ 10) 2,473</w:t>
      </w:r>
      <w:r>
        <w:t xml:space="preserve"> </w:t>
      </w:r>
      <m:oMath>
        <m:acc>
          <m:accPr>
            <m:chr m:val="̃"/>
          </m:accPr>
          <m:e>
            <m:r>
              <m:rPr>
                <m:sty m:val="p"/>
              </m:rPr>
              <m:t>T</m:t>
            </m:r>
            <m:r>
              <m:rPr>
                <m:sty m:val="p"/>
              </m:rPr>
              <m:t>C</m:t>
            </m:r>
            <m:r>
              <m:rPr>
                <m:sty m:val="p"/>
              </m:rPr>
              <m:t>I</m:t>
            </m:r>
          </m:e>
        </m:acc>
      </m:oMath>
      <w:r>
        <w:t xml:space="preserve"> </w:t>
      </w:r>
      <w:r>
        <w:t xml:space="preserve">= 0.188 ;</w:t>
      </w:r>
      <w:r>
        <w:t xml:space="preserve"> </w:t>
      </w:r>
      <m:oMath>
        <m:acc>
          <m:accPr>
            <m:chr m:val="̃"/>
          </m:accPr>
          <m:e>
            <m:r>
              <m:rPr>
                <m:sty m:val="p"/>
              </m:rPr>
              <m:t>D</m:t>
            </m:r>
            <m:r>
              <m:rPr>
                <m:sty m:val="p"/>
              </m:rPr>
              <m:t>A</m:t>
            </m:r>
            <m:r>
              <m:rPr>
                <m:sty m:val="p"/>
              </m:rPr>
              <m:t>I</m:t>
            </m:r>
          </m:e>
        </m:acc>
      </m:oMath>
      <w:r>
        <w:t xml:space="preserve"> </w:t>
      </w:r>
      <w:r>
        <w:t xml:space="preserve">= 0.054 n.s.</w:t>
      </w:r>
      <w:r>
        <w:t xml:space="preserve"> </w:t>
      </w:r>
      <w:r>
        <w:t xml:space="preserve">M8 joint p = .167 n.s.</w:t>
      </w:r>
      <w:r>
        <w:t xml:space="preserve"> </w:t>
      </w:r>
      <w:r>
        <w:t xml:space="preserve">G. Manufacturing (sector1 1,854</w:t>
      </w:r>
      <w:r>
        <w:t xml:space="preserve"> </w:t>
      </w:r>
      <m:oMath>
        <m:acc>
          <m:accPr>
            <m:chr m:val="̃"/>
          </m:accPr>
          <m:e>
            <m:r>
              <m:rPr>
                <m:sty m:val="p"/>
              </m:rPr>
              <m:t>T</m:t>
            </m:r>
            <m:r>
              <m:rPr>
                <m:sty m:val="p"/>
              </m:rPr>
              <m:t>C</m:t>
            </m:r>
            <m:r>
              <m:rPr>
                <m:sty m:val="p"/>
              </m:rPr>
              <m:t>I</m:t>
            </m:r>
          </m:e>
        </m:acc>
      </m:oMath>
      <w:r>
        <w:t xml:space="preserve"> </w:t>
      </w:r>
      <w:r>
        <w:t xml:space="preserve">= 0.223 ;</w:t>
      </w:r>
      <w:r>
        <w:t xml:space="preserve"> </w:t>
      </w:r>
      <m:oMath>
        <m:acc>
          <m:accPr>
            <m:chr m:val="̃"/>
          </m:accPr>
          <m:e>
            <m:r>
              <m:rPr>
                <m:sty m:val="p"/>
              </m:rPr>
              <m:t>D</m:t>
            </m:r>
            <m:r>
              <m:rPr>
                <m:sty m:val="p"/>
              </m:rPr>
              <m:t>A</m:t>
            </m:r>
            <m:r>
              <m:rPr>
                <m:sty m:val="p"/>
              </m:rPr>
              <m:t>I</m:t>
            </m:r>
          </m:e>
        </m:acc>
      </m:oMath>
      <w:r>
        <w:t xml:space="preserve"> </w:t>
      </w:r>
      <w:r>
        <w:t xml:space="preserve">= 0.087 ; M8 joint p = .103 †</w:t>
      </w:r>
      <w:r>
        <w:t xml:space="preserve"> </w:t>
      </w:r>
      <w:r>
        <w:t xml:space="preserve">∈ {1, 2, 3})</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w:t>
      </w:r>
      <w:r>
        <w:t xml:space="preserve"> </w:t>
      </w:r>
      <w:r>
        <w:t xml:space="preserve">H. Exporter-only (FSTS &gt; 0, 669</w:t>
      </w:r>
      <w:r>
        <w:t xml:space="preserve"> </w:t>
      </w:r>
      <m:oMath>
        <m:sSup>
          <m:e>
            <m:r>
              <m:rPr>
                <m:sty m:val="p"/>
              </m:rPr>
              <m:t>F</m:t>
            </m:r>
            <m:r>
              <m:rPr>
                <m:sty m:val="p"/>
              </m:rPr>
              <m:t>S</m:t>
            </m:r>
            <m:r>
              <m:rPr>
                <m:sty m:val="p"/>
              </m:rPr>
              <m:t>T</m:t>
            </m:r>
            <m:r>
              <m:rPr>
                <m:sty m:val="p"/>
              </m:rPr>
              <m:t>S</m:t>
            </m:r>
          </m:e>
          <m:sup>
            <m:r>
              <m:t>c</m:t>
            </m:r>
          </m:sup>
        </m:sSup>
      </m:oMath>
      <w:r>
        <w:t xml:space="preserve"> </w:t>
      </w:r>
      <w:r>
        <w:t xml:space="preserve">= −0.861 ;</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−0.200 M8 joint p = .462 n.s.</w:t>
      </w:r>
      <w:r>
        <w:t xml:space="preserve"> </w:t>
      </w:r>
      <w:r>
        <w:t xml:space="preserve">pooled)</w:t>
      </w:r>
      <w:r>
        <w:t xml:space="preserve"> </w:t>
      </w:r>
      <w:r>
        <w:t xml:space="preserve">n.s.</w:t>
      </w:r>
      <w:r>
        <w:t xml:space="preserve"> </w:t>
      </w:r>
      <w:r>
        <w:t xml:space="preserve">I. Wave × focal interaction 2,958</w:t>
      </w:r>
      <w:r>
        <w:t xml:space="preserve"> </w:t>
      </w:r>
      <m:oMath>
        <m:acc>
          <m:accPr>
            <m:chr m:val="̃"/>
          </m:accPr>
          <m:e>
            <m:r>
              <m:rPr>
                <m:sty m:val="p"/>
              </m:rPr>
              <m:t>D</m:t>
            </m:r>
            <m:r>
              <m:rPr>
                <m:sty m:val="p"/>
              </m:rPr>
              <m:t>A</m:t>
            </m:r>
            <m:r>
              <m:rPr>
                <m:sty m:val="p"/>
              </m:rPr>
              <m:t>I</m:t>
            </m:r>
          </m:e>
        </m:acc>
      </m:oMath>
      <w:r>
        <w:t xml:space="preserve"> </w:t>
      </w:r>
      <w:r>
        <w:t xml:space="preserve">×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website (kernel 1,085 ATT_DAI = 0.321 (SE 0.043)</w:t>
      </w:r>
      <w:r>
        <w:t xml:space="preserve"> </w:t>
      </w:r>
      <w:r>
        <w:t xml:space="preserve">Robust to algorithm</w:t>
      </w:r>
      <w:r>
        <w:t xml:space="preserve"> </w:t>
      </w:r>
      <w:r>
        <w:t xml:space="preserve">BW 0.06)</w:t>
      </w:r>
      <w:r>
        <w:t xml:space="preserve"> </w:t>
      </w:r>
      <w:r>
        <w:t xml:space="preserve">J. PSM ATT,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w:t>
      </w:r>
      <w:r>
        <w:t xml:space="preserve"> </w:t>
      </w:r>
      <m:oMath>
        <m:acc>
          <m:accPr>
            <m:chr m:val="̃"/>
          </m:accPr>
          <m:e>
            <m:r>
              <m:rPr>
                <m:sty m:val="p"/>
              </m:rPr>
              <m:t>D</m:t>
            </m:r>
            <m:r>
              <m:rPr>
                <m:sty m:val="p"/>
              </m:rPr>
              <m:t>A</m:t>
            </m:r>
            <m:r>
              <m:rPr>
                <m:sty m:val="p"/>
              </m:rPr>
              <m:t>I</m:t>
            </m:r>
          </m:e>
        </m:acc>
      </m:oMath>
      <w:r>
        <w:t xml:space="preserve"> </w:t>
      </w:r>
      <w:r>
        <w:t xml:space="preserve">2,298</w:t>
      </w:r>
      <w:r>
        <w:t xml:space="preserve"> </w:t>
      </w:r>
      <m:oMath>
        <m:acc>
          <m:accPr>
            <m:chr m:val="̃"/>
          </m:accPr>
          <m:e>
            <m:r>
              <m:rPr>
                <m:sty m:val="p"/>
              </m:rPr>
              <m:t>D</m:t>
            </m:r>
            <m:r>
              <m:rPr>
                <m:sty m:val="p"/>
              </m:rPr>
              <m:t>A</m:t>
            </m:r>
            <m:r>
              <m:rPr>
                <m:sty m:val="p"/>
              </m:rPr>
              <m:t>I</m:t>
            </m:r>
          </m:e>
        </m:acc>
      </m:oMath>
      <w:r>
        <w:t xml:space="preserve"> </w:t>
      </w:r>
      <w:r>
        <w:t xml:space="preserve">= 0.018 (p = .942) n.s.</w:t>
      </w:r>
      <w:r>
        <w:t xml:space="preserve"> </w:t>
      </w:r>
      <w:r>
        <w:t xml:space="preserve">First-stage F = 34.6</w:t>
      </w:r>
      <w:r>
        <w:t xml:space="preserve"> </w:t>
      </w:r>
      <w:r>
        <w:t xml:space="preserve">(strong)</w:t>
      </w:r>
      <w:r>
        <w:t xml:space="preserve"> </w:t>
      </w:r>
      <w:r>
        <w:t xml:space="preserve">K. IV / 2SLS:</w:t>
      </w:r>
      <w:r>
        <w:t xml:space="preserve"> </w:t>
      </w:r>
      <m:oMath>
        <m:acc>
          <m:accPr>
            <m:chr m:val="̃"/>
          </m:accPr>
          <m:e>
            <m:r>
              <m:rPr>
                <m:sty m:val="p"/>
              </m:rPr>
              <m:t>T</m:t>
            </m:r>
            <m:r>
              <m:rPr>
                <m:sty m:val="p"/>
              </m:rPr>
              <m:t>C</m:t>
            </m:r>
            <m:r>
              <m:rPr>
                <m:sty m:val="p"/>
              </m:rPr>
              <m:t>I</m:t>
            </m:r>
          </m:e>
        </m:acc>
      </m:oMath>
      <w:r>
        <w:t xml:space="preserve"> </w:t>
      </w:r>
      <w:r>
        <w:t xml:space="preserve">2,298</w:t>
      </w:r>
      <w:r>
        <w:t xml:space="preserve"> </w:t>
      </w:r>
      <m:oMath>
        <m:acc>
          <m:accPr>
            <m:chr m:val="̃"/>
          </m:accPr>
          <m:e>
            <m:r>
              <m:rPr>
                <m:sty m:val="p"/>
              </m:rPr>
              <m:t>T</m:t>
            </m:r>
            <m:r>
              <m:rPr>
                <m:sty m:val="p"/>
              </m:rPr>
              <m:t>C</m:t>
            </m:r>
            <m:r>
              <m:rPr>
                <m:sty m:val="p"/>
              </m:rPr>
              <m:t>I</m:t>
            </m:r>
          </m:e>
        </m:acc>
      </m:oMath>
      <w:r>
        <w:t xml:space="preserve"> </w:t>
      </w:r>
      <w:r>
        <w:t xml:space="preserve">=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0.61; FSTSc2 −2.21, −1.17; No sign change; focal findTCI 0.14, 0.19; DAI 0.07,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authors' calculations.</w:t>
      </w:r>
      <w:r>
        <w:t xml:space="preserve"> </w:t>
      </w:r>
      <w:r>
        <w:t xml:space="preserve">Notes.</w:t>
      </w:r>
    </w:p>
    <w:p>
      <w:pPr>
        <w:pStyle w:val="BodyText"/>
      </w:pPr>
      <w:r>
        <w:t xml:space="preserve">Table 4: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m:oMath>
              <m:acc>
                <m:accPr>
                  <m:chr m:val="̃"/>
                </m:accPr>
                <m:e>
                  <m:r>
                    <m:rPr>
                      <m:sty m:val="p"/>
                    </m:rPr>
                    <m:t>T</m:t>
                  </m:r>
                  <m:r>
                    <m:rPr>
                      <m:sty m:val="p"/>
                    </m:rPr>
                    <m:t>C</m:t>
                  </m:r>
                  <m:r>
                    <m:rPr>
                      <m:sty m:val="p"/>
                    </m:rPr>
                    <m:t>I</m:t>
                  </m:r>
                </m:e>
              </m:acc>
            </m:oMath>
            <w:r>
              <w:t xml:space="preserve"> </w:t>
            </w:r>
            <w:r>
              <w:t xml:space="preserve">z (p)</w:t>
            </w:r>
          </w:p>
        </w:tc>
        <w:tc>
          <w:tcPr/>
          <w:p>
            <w:pPr>
              <w:pStyle w:val="Compact"/>
              <w:jc w:val="left"/>
            </w:pPr>
            <m:oMath>
              <m:acc>
                <m:accPr>
                  <m:chr m:val="̃"/>
                </m:accPr>
                <m:e>
                  <m:r>
                    <m:rPr>
                      <m:sty m:val="p"/>
                    </m:rPr>
                    <m:t>D</m:t>
                  </m:r>
                  <m:r>
                    <m:rPr>
                      <m:sty m:val="p"/>
                    </m:rPr>
                    <m:t>A</m:t>
                  </m:r>
                  <m:r>
                    <m:rPr>
                      <m:sty m:val="p"/>
                    </m:rPr>
                    <m:t>I</m:t>
                  </m:r>
                </m:e>
              </m:acc>
            </m:oMath>
            <w:r>
              <w:t xml:space="preserve"> </w:t>
            </w:r>
            <w:r>
              <w:t xml:space="preserve">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w:t>
      </w:r>
    </w:p>
    <w:p>
      <w:pPr>
        <w:pStyle w:val="BodyText"/>
      </w:pPr>
      <w:r>
        <w:t xml:space="preserve">N</w:t>
      </w:r>
    </w:p>
    <w:p>
      <w:pPr>
        <w:pStyle w:val="BodyText"/>
      </w:pPr>
      <w:r>
        <w:t xml:space="preserve">Turning point (raw FSTS)</w:t>
      </w:r>
    </w:p>
    <w:p>
      <w:pPr>
        <w:pStyle w:val="BodyText"/>
      </w:pPr>
      <w:r>
        <w:t xml:space="preserve">95 % delta-method CI</w:t>
      </w:r>
    </w:p>
    <w:p>
      <w:pPr>
        <w:pStyle w:val="BodyText"/>
      </w:pPr>
      <w:r>
        <w:t xml:space="preserve">Lind–Mehlum p</w:t>
      </w:r>
    </w:p>
    <w:p>
      <w:pPr>
        <w:pStyle w:val="BodyText"/>
      </w:pPr>
      <w:r>
        <w:t xml:space="preserve">Vietnam 2009</w:t>
      </w:r>
      <w:r>
        <w:t xml:space="preserve"> </w:t>
      </w:r>
      <w:r>
        <w:t xml:space="preserve">Vietnam 2015</w:t>
      </w:r>
      <w:r>
        <w:t xml:space="preserve"> </w:t>
      </w:r>
      <w:r>
        <w:t xml:space="preserve">Vietnam 2023</w:t>
      </w:r>
      <w:r>
        <w:t xml:space="preserve"> </w:t>
      </w:r>
      <w:r>
        <w:t xml:space="preserve">Vietnam pooled</w:t>
      </w:r>
    </w:p>
    <w:p>
      <w:pPr>
        <w:pStyle w:val="BodyText"/>
      </w:pPr>
      <w:r>
        <w:t xml:space="preserve">989</w:t>
      </w:r>
      <w:r>
        <w:t xml:space="preserve"> </w:t>
      </w:r>
      <w:r>
        <w:t xml:space="preserve">956</w:t>
      </w:r>
      <w:r>
        <w:t xml:space="preserve"> </w:t>
      </w:r>
      <w:r>
        <w:t xml:space="preserve">1,013</w:t>
      </w:r>
      <w:r>
        <w:t xml:space="preserve"> </w:t>
      </w:r>
      <w:r>
        <w:t xml:space="preserve">2,958</w:t>
      </w:r>
    </w:p>
    <w:p>
      <w:pPr>
        <w:pStyle w:val="BodyText"/>
      </w:pPr>
      <w:r>
        <w:t xml:space="preserve">46.2 %</w:t>
      </w:r>
      <w:r>
        <w:t xml:space="preserve"> </w:t>
      </w:r>
      <w:r>
        <w:t xml:space="preserve">39.3 %</w:t>
      </w:r>
      <w:r>
        <w:t xml:space="preserve"> </w:t>
      </w:r>
      <w:r>
        <w:t xml:space="preserve">41.6 %</w:t>
      </w:r>
      <w:r>
        <w:t xml:space="preserve"> </w:t>
      </w:r>
      <w:r>
        <w:t xml:space="preserve">39.7 %</w:t>
      </w:r>
    </w:p>
    <w:p>
      <w:pPr>
        <w:pStyle w:val="BodyText"/>
      </w:pPr>
      <w:r>
        <w:t xml:space="preserve">[37.4 %, 55.1 %]</w:t>
      </w:r>
      <w:r>
        <w:t xml:space="preserve"> </w:t>
      </w:r>
      <w:r>
        <w:t xml:space="preserve">[30.3 %, 48.4 %]</w:t>
      </w:r>
      <w:r>
        <w:t xml:space="preserve"> </w:t>
      </w:r>
      <w:r>
        <w:t xml:space="preserve">[31.7 %, 51.5 %]</w:t>
      </w:r>
      <w:r>
        <w:t xml:space="preserve"> </w:t>
      </w:r>
      <w:r>
        <w:t xml:space="preserve">[34.0 %, 45.5 %]</w:t>
      </w:r>
    </w:p>
    <w:p>
      <w:pPr>
        <w:pStyle w:val="BodyText"/>
      </w:pPr>
      <w:r>
        <w:t xml:space="preserve">.006</w:t>
      </w:r>
      <w:r>
        <w:t xml:space="preserve"> </w:t>
      </w:r>
      <w:r>
        <w:t xml:space="preserve">.009</w:t>
      </w:r>
      <w:r>
        <w:t xml:space="preserve"> </w:t>
      </w:r>
      <w:r>
        <w:t xml:space="preserve">.013</w:t>
      </w:r>
      <w:r>
        <w:t xml:space="preserve"> </w:t>
      </w:r>
      <w:r>
        <w:t xml:space="preserve">&lt; .001</w:t>
      </w:r>
    </w:p>
    <w:p>
      <w:pPr>
        <w:pStyle w:val="BodyText"/>
      </w:pPr>
      <w:r>
        <w:t xml:space="preserve">Turning points are derived from the M2 inverted-U specification (</w:t>
      </w:r>
      <m:oMath>
        <m:r>
          <m:rPr>
            <m:sty m:val="p"/>
          </m:rPr>
          <m:t>ln</m:t>
        </m:r>
        <m:d>
          <m:dPr>
            <m:begChr m:val="("/>
            <m:endChr m:val=")"/>
            <m:sepChr m:val=""/>
            <m:grow/>
          </m:dPr>
          <m:e>
            <m:r>
              <m:rPr>
                <m:sty m:val="p"/>
              </m:rPr>
              <m:t>L</m:t>
            </m:r>
            <m:r>
              <m:rPr>
                <m:sty m:val="p"/>
              </m:rPr>
              <m:t>P</m:t>
            </m:r>
          </m:e>
        </m:d>
      </m:oMath>
      <w:r>
        <w:t xml:space="preserve"> </w:t>
      </w:r>
      <w:r>
        <w:t xml:space="preserve">= β0 + β1</w:t>
      </w:r>
      <w:r>
        <w:t xml:space="preserve"> </w:t>
      </w:r>
      <m:oMath>
        <m:sSup>
          <m:e>
            <m:r>
              <m:rPr>
                <m:sty m:val="p"/>
              </m:rPr>
              <m:t>F</m:t>
            </m:r>
            <m:r>
              <m:rPr>
                <m:sty m:val="p"/>
              </m:rPr>
              <m:t>S</m:t>
            </m:r>
            <m:r>
              <m:rPr>
                <m:sty m:val="p"/>
              </m:rPr>
              <m:t>T</m:t>
            </m:r>
            <m:r>
              <m:rPr>
                <m:sty m:val="p"/>
              </m:rPr>
              <m:t>S</m:t>
            </m:r>
          </m:e>
          <m:sup>
            <m:r>
              <m:t>c</m:t>
            </m:r>
          </m:sup>
        </m:sSup>
      </m:oMath>
      <w:r>
        <w:t xml:space="preserve"> </w:t>
      </w:r>
      <w:r>
        <w:t xml:space="preserve">+ β2</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controls + sector FE [+ wave FE in pooled]) and back-transformed to the raw FSTS scale. 95 %</w:t>
      </w:r>
      <w:r>
        <w:t xml:space="preserve"> </w:t>
      </w:r>
      <w:r>
        <w:t xml:space="preserve">confidence intervals use the delta method on the within-sample</w:t>
      </w:r>
      <w:r>
        <w:t xml:space="preserve"> </w:t>
      </w:r>
      <m:oMath>
        <m:sSup>
          <m:e>
            <m:r>
              <m:rPr>
                <m:sty m:val="p"/>
              </m:rPr>
              <m:t>F</m:t>
            </m:r>
            <m:r>
              <m:rPr>
                <m:sty m:val="p"/>
              </m:rPr>
              <m:t>S</m:t>
            </m:r>
            <m:r>
              <m:rPr>
                <m:sty m:val="p"/>
              </m:rPr>
              <m:t>T</m:t>
            </m:r>
            <m:r>
              <m:rPr>
                <m:sty m:val="p"/>
              </m:rPr>
              <m:t>S</m:t>
            </m:r>
          </m:e>
          <m:sup>
            <m:r>
              <m:t>c</m:t>
            </m:r>
          </m:sup>
        </m:sSup>
      </m:oMath>
      <w:r>
        <w:t xml:space="preserve"> </w:t>
      </w:r>
      <w:r>
        <w:t xml:space="preserve">range. Lind–Mehlum p-values follow</w:t>
      </w:r>
      <w:r>
        <w:t xml:space="preserve"> </w:t>
      </w:r>
      <w:r>
        <w:t xml:space="preserve">the Sasabuchi-style endpoint test for an inverted-U over the observed FSTS range (Lind and Mehlum, 2010).</w:t>
      </w:r>
      <w:r>
        <w:t xml:space="preserve"> </w:t>
      </w:r>
      <w:r>
        <w:t xml:space="preserve">Source: World Bank Enterprise Surveys; authors' calculations.</w:t>
      </w:r>
      <w:r>
        <w:t xml:space="preserve"> </w:t>
      </w:r>
      <w:r>
        <w:t xml:space="preserve">Notes.</w:t>
      </w:r>
    </w:p>
    <w:bookmarkEnd w:id="41"/>
    <w:bookmarkEnd w:id="42"/>
    <w:bookmarkEnd w:id="43"/>
    <w:bookmarkStart w:id="49" w:name="X735612638e4e736e4693e459c258977262c0dfc"/>
    <w:p>
      <w:pPr>
        <w:pStyle w:val="Heading2"/>
      </w:pPr>
      <w:r>
        <w:t xml:space="preserve">5. Discussion</w:t>
      </w:r>
    </w:p>
    <w:bookmarkStart w:id="44" w:name="Xac076a45bfd7ad272f1725313fc0a5f07b5e6aa"/>
    <w:p>
      <w:pPr>
        <w:pStyle w:val="Heading3"/>
      </w:pPr>
      <w:r>
        <w:t xml:space="preserve">5.1 Reinterpreting digital capability in Vietnam</w:t>
      </w:r>
    </w:p>
    <w:p>
      <w:pPr>
        <w:pStyle w:val="FirstParagraph"/>
      </w:pPr>
      <w:r>
        <w:t xml:space="preserve">The central implication of the findings is that foundational digital adoption in Vietnam should</w:t>
      </w:r>
      <w:r>
        <w:t xml:space="preserve"> </w:t>
      </w:r>
      <w:r>
        <w:t xml:space="preserve">not be interpreted as a universal and temporally stable productivity premium. Although both</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are positive on average in pooled specifications, their empirical roles differ</w:t>
      </w:r>
      <w:r>
        <w:t xml:space="preserve"> </w:t>
      </w:r>
      <w:r>
        <w:t xml:space="preserve">materially across waves and across identification strategies (Vahlne, 2020; Stallkamp and Schotter, 2021). This means that website-based digital adoption is not simply a constant background</w:t>
      </w:r>
      <w:r>
        <w:t xml:space="preserve"> </w:t>
      </w:r>
      <w:r>
        <w:t xml:space="preserve">advantage; it is a context-sensitive and stage-dependent source of performance heterogeneity.</w:t>
      </w:r>
    </w:p>
    <w:p>
      <w:pPr>
        <w:pStyle w:val="BodyText"/>
      </w:pPr>
      <w:r>
        <w:t xml:space="preserve">The negative sign on the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show that this tendency is not</w:t>
      </w:r>
      <w:r>
        <w:t xml:space="preserve"> </w:t>
      </w:r>
      <w:r>
        <w:t xml:space="preserve">equally strong in every phase. The value of digital capability therefore depends on where firms</w:t>
      </w:r>
      <w:r>
        <w:t xml:space="preserve"> </w:t>
      </w:r>
      <w:r>
        <w:t xml:space="preserve">stand in the broader lifecycle of internationalisation and transition.</w:t>
      </w:r>
    </w:p>
    <w:bookmarkEnd w:id="44"/>
    <w:bookmarkStart w:id="45" w:name="X11d90782b31b91de7149175db149c9db7848c44"/>
    <w:p>
      <w:pPr>
        <w:pStyle w:val="Heading3"/>
      </w:pPr>
      <w:r>
        <w:t xml:space="preserve">5.2 Why the distinction between TCI and DAI matters</w:t>
      </w:r>
    </w:p>
    <w:p>
      <w:pPr>
        <w:pStyle w:val="FirstParagraph"/>
      </w:pPr>
      <w:r>
        <w:t xml:space="preserve">The results strengthen the theoretical case for separating foreign-technology / standards capability from foundational digital adoption.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w:t>
      </w:r>
      <w:r>
        <w:t xml:space="preserve"> </w:t>
      </w:r>
      <m:oMath>
        <m:acc>
          <m:accPr>
            <m:chr m:val="̃"/>
          </m:accPr>
          <m:e>
            <m:r>
              <m:rPr>
                <m:sty m:val="p"/>
              </m:rPr>
              <m:t>T</m:t>
            </m:r>
            <m:r>
              <m:rPr>
                <m:sty m:val="p"/>
              </m:rPr>
              <m:t>C</m:t>
            </m:r>
            <m:r>
              <m:rPr>
                <m:sty m:val="p"/>
              </m:rPr>
              <m:t>I</m:t>
            </m:r>
          </m:e>
        </m:acc>
      </m:oMath>
      <w:r>
        <w:t xml:space="preserve"> </w:t>
      </w:r>
      <w:r>
        <w:t xml:space="preserve">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reported in 4.5 Panel B reinforces the construct interpretation</w:t>
      </w:r>
      <w:r>
        <w:t xml:space="preserve"> </w:t>
      </w:r>
      <w:r>
        <w:t xml:space="preserve">rather than weakening it. Although the primary</w:t>
      </w:r>
      <w:r>
        <w:t xml:space="preserve"> </w:t>
      </w:r>
      <m:oMath>
        <m:acc>
          <m:accPr>
            <m:chr m:val="̃"/>
          </m:accPr>
          <m:e>
            <m:r>
              <m:rPr>
                <m:sty m:val="p"/>
              </m:rPr>
              <m:t>D</m:t>
            </m:r>
            <m:r>
              <m:rPr>
                <m:sty m:val="p"/>
              </m:rPr>
              <m:t>A</m:t>
            </m:r>
            <m:r>
              <m:rPr>
                <m:sty m:val="p"/>
              </m:rPr>
              <m:t>I</m:t>
            </m:r>
          </m:e>
        </m:acc>
      </m:oMath>
      <w:r>
        <w:t xml:space="preserve"> </w:t>
      </w:r>
      <w:r>
        <w:t xml:space="preserve">anchored on c22b (website presence) is</w:t>
      </w:r>
      <w:r>
        <w:t xml:space="preserve"> </w:t>
      </w:r>
      <w:r>
        <w:t xml:space="preserve">by 2023 close to a Tier-1 baseline indicator, 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available only in 2023, combining c22b with electronic-payment shares (k33, k38), produces a similarly directioned</w:t>
      </w:r>
      <w:r>
        <w:t xml:space="preserve"> </w:t>
      </w:r>
      <w:r>
        <w:t xml:space="preserve">and marginally significant moderation pattern (</w:t>
      </w:r>
      <m:oMath>
        <m:sSup>
          <m:e>
            <m:r>
              <m:rPr>
                <m:sty m:val="p"/>
              </m:rPr>
              <m:t>F</m:t>
            </m:r>
            <m:r>
              <m:rPr>
                <m:sty m:val="p"/>
              </m:rPr>
              <m:t>S</m:t>
            </m:r>
            <m:r>
              <m:rPr>
                <m:sty m:val="p"/>
              </m:rPr>
              <m:t>T</m:t>
            </m:r>
            <m:r>
              <m:rPr>
                <m:sty m:val="p"/>
              </m:rPr>
              <m:t>S</m:t>
            </m:r>
          </m:e>
          <m:sup>
            <m:r>
              <m:t>c</m:t>
            </m:r>
          </m:sup>
        </m:sSup>
      </m:oMath>
      <w:r>
        <w:t xml:space="preserve"> </w:t>
      </w:r>
      <w:r>
        <w:t xml:space="preserve">×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m:oMath>
        <m:acc>
          <m:accPr>
            <m:chr m:val="̃"/>
          </m:accPr>
          <m:e>
            <m:r>
              <m:rPr>
                <m:sty m:val="p"/>
              </m:rPr>
              <m:t>T</m:t>
            </m:r>
            <m:r>
              <m:rPr>
                <m:sty m:val="p"/>
              </m:rPr>
              <m:t>C</m:t>
            </m:r>
            <m:r>
              <m:rPr>
                <m:sty m:val="p"/>
              </m:rPr>
              <m:t>I</m:t>
            </m:r>
          </m:e>
        </m:acc>
      </m:oMath>
      <w:r>
        <w:t xml:space="preserve"> </w:t>
      </w:r>
      <w:r>
        <w:t xml:space="preserve">behaves like a</w:t>
      </w:r>
    </w:p>
    <w:p>
      <w:pPr>
        <w:pStyle w:val="BodyText"/>
      </w:pPr>
      <w:r>
        <w:t xml:space="preserve">robust foreign-technology / standards capability whose productivity association survives both</w:t>
      </w:r>
      <w:r>
        <w:t xml:space="preserve"> </w:t>
      </w:r>
      <w:r>
        <w:t xml:space="preserve">PSM and 2SLS.</w:t>
      </w:r>
      <w:r>
        <w:t xml:space="preserve"> </w:t>
      </w:r>
      <m:oMath>
        <m:acc>
          <m:accPr>
            <m:chr m:val="̃"/>
          </m:accPr>
          <m:e>
            <m:r>
              <m:rPr>
                <m:sty m:val="p"/>
              </m:rPr>
              <m:t>D</m:t>
            </m:r>
            <m:r>
              <m:rPr>
                <m:sty m:val="p"/>
              </m:rPr>
              <m:t>A</m:t>
            </m:r>
            <m:r>
              <m:rPr>
                <m:sty m:val="p"/>
              </m:rPr>
              <m:t>I</m:t>
            </m:r>
          </m:e>
        </m:acc>
      </m:oMath>
      <w:r>
        <w:t xml:space="preserve"> </w:t>
      </w:r>
      <w:r>
        <w:t xml:space="preserve">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45"/>
    <w:bookmarkStart w:id="46" w:name="X946dfeb74c2174371e94edd51e868f8bb309c10"/>
    <w:p>
      <w:pPr>
        <w:pStyle w:val="Heading3"/>
      </w:pPr>
      <w:r>
        <w:t xml:space="preserve">5.3 The significance of the 2015 dip</w:t>
      </w:r>
    </w:p>
    <w:p>
      <w:pPr>
        <w:pStyle w:val="FirstParagraph"/>
      </w:pPr>
      <w:r>
        <w:t xml:space="preserve">Before invoking the macro-infrastructure narrative, it is worth grounding the 2015 null in the micro-structure of the sample itself. As reported in Table 1, the exporter share fell from 28.4% in 2009 to 20.7% in 2015,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not merely the macro infrastructure gap,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and to a degree complementary,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will be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they are not entered</w:t>
      </w:r>
      <w:r>
        <w:t xml:space="preserve"> </w:t>
      </w:r>
      <w:r>
        <w:t xml:space="preserve">into the regression,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demonstrates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46"/>
    <w:bookmarkStart w:id="47"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w:t>
      </w:r>
    </w:p>
    <w:p>
      <w:pPr>
        <w:pStyle w:val="BodyText"/>
      </w:pPr>
      <w:r>
        <w:t xml:space="preserve">Rather, it</w:t>
      </w:r>
    </w:p>
    <w:p>
      <w:pPr>
        <w:pStyle w:val="BodyText"/>
      </w:pPr>
      <w:r>
        <w:t xml:space="preserve">is that digitalisation should be aligned with organisational readiness and international scale.</w:t>
      </w:r>
      <w:r>
        <w:t xml:space="preserve"> </w:t>
      </w:r>
      <w:r>
        <w:t xml:space="preserve">Foundational digital tools may create value, but the payoff depends on whether those tools are</w:t>
      </w:r>
      <w:r>
        <w:t xml:space="preserve"> </w:t>
      </w:r>
      <w:r>
        <w:t xml:space="preserve">embedded in routines that support export coordination and performance.</w:t>
      </w:r>
      <w:r>
        <w:t xml:space="preserve"> </w:t>
      </w:r>
      <w:r>
        <w:t xml:space="preserve">Managers should also avoid conflating basic digital adoption with deeper technological capability.</w:t>
      </w:r>
    </w:p>
    <w:p>
      <w:pPr>
        <w:pStyle w:val="BodyText"/>
      </w:pPr>
      <w:r>
        <w:t xml:space="preserve">A firm may adopt digital tools without having the learning and upgrading capacity</w:t>
      </w:r>
    </w:p>
    <w:p>
      <w:pPr>
        <w:pStyle w:val="BodyText"/>
      </w:pPr>
      <w:r>
        <w:t xml:space="preserve">needed to sustain performance gains over time.</w:t>
      </w:r>
    </w:p>
    <w:p>
      <w:pPr>
        <w:pStyle w:val="BodyText"/>
      </w:pPr>
      <w:r>
        <w:t xml:space="preserve">Conversely, stronger internal capability may</w:t>
      </w:r>
    </w:p>
    <w:p>
      <w:pPr>
        <w:pStyle w:val="BodyText"/>
      </w:pPr>
      <w:r>
        <w:t xml:space="preserve">allow the firm to convert relatively basic digital adoption into more meaningful outcomes. This</w:t>
      </w:r>
      <w:r>
        <w:t xml:space="preserve"> </w:t>
      </w:r>
      <w:r>
        <w:t xml:space="preserve">distinction is especially important in transitional economies, where firms move through uneven</w:t>
      </w:r>
      <w:r>
        <w:t xml:space="preserve"> </w:t>
      </w:r>
      <w:r>
        <w:t xml:space="preserve">stages of capability development.</w:t>
      </w:r>
    </w:p>
    <w:bookmarkEnd w:id="47"/>
    <w:bookmarkStart w:id="48"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will be</w:t>
      </w:r>
      <w:r>
        <w:t xml:space="preserve"> </w:t>
      </w:r>
      <w:r>
        <w:t xml:space="preserve">more consistent with the pattern that emerges in 2023.</w:t>
      </w:r>
      <w:r>
        <w:t xml:space="preserve"> </w:t>
      </w:r>
      <w:r>
        <w:t xml:space="preserve">Third, the lifecycle reading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lifecycle structure seriously will couple short-window outcome measurement with sustained measurement of the capability and infrastructure environment in which firms operate.</w:t>
      </w:r>
    </w:p>
    <w:bookmarkEnd w:id="48"/>
    <w:bookmarkEnd w:id="49"/>
    <w:bookmarkStart w:id="50"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Within-firm change over</w:t>
      </w:r>
      <w:r>
        <w:t xml:space="preserve"> </w:t>
      </w:r>
      <w:r>
        <w:t xml:space="preserve">time cannot be identified, and time-invariant unobserved heterogeneity cannot be netted out at</w:t>
      </w:r>
      <w:r>
        <w:t xml:space="preserve"> </w:t>
      </w:r>
      <w:r>
        <w:t xml:space="preserve">the firm level. The associational language used throughout the paper reflects this constraint and</w:t>
      </w:r>
      <w:r>
        <w:t xml:space="preserve"> </w:t>
      </w:r>
      <w:r>
        <w:t xml:space="preserve">should not be relaxed in any reader's interpretation of the results.</w:t>
      </w:r>
      <w:r>
        <w:t xml:space="preserve"> </w:t>
      </w:r>
      <w:r>
        <w:t xml:space="preserve">Second,</w:t>
      </w:r>
      <w:r>
        <w:t xml:space="preserve"> </w:t>
      </w:r>
      <m:oMath>
        <m:acc>
          <m:accPr>
            <m:chr m:val="̃"/>
          </m:accPr>
          <m:e>
            <m:r>
              <m:rPr>
                <m:sty m:val="p"/>
              </m:rPr>
              <m:t>D</m:t>
            </m:r>
            <m:r>
              <m:rPr>
                <m:sty m:val="p"/>
              </m:rPr>
              <m:t>A</m:t>
            </m:r>
            <m:r>
              <m:rPr>
                <m:sty m:val="p"/>
              </m:rPr>
              <m:t>I</m:t>
            </m:r>
          </m:e>
        </m:acc>
      </m:oMath>
      <w:r>
        <w:t xml:space="preserve"> </w:t>
      </w:r>
      <w:r>
        <w:t xml:space="preserve">captures only a foundational, Tier-1-style layer of digital adoption centred</w:t>
      </w:r>
      <w:r>
        <w:t xml:space="preserve"> </w:t>
      </w:r>
      <w:r>
        <w:t xml:space="preserve">on website presence, rather than digitally integrated organisational capability. 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for the 2023 wave shows that the conditional pattern survives when richer items are</w:t>
      </w:r>
      <w:r>
        <w:t xml:space="preserve"> </w:t>
      </w:r>
      <w:r>
        <w:t xml:space="preserve">available, but a panel of digitally integrated firms with deeper measurement would tighten the</w:t>
      </w:r>
      <w:r>
        <w:t xml:space="preserve"> </w:t>
      </w:r>
      <w:r>
        <w:t xml:space="preserve">construct further and allow a sharper test of whether deeper digital integration exhibits a more</w:t>
      </w:r>
      <w:r>
        <w:t xml:space="preserve"> </w:t>
      </w:r>
      <w:r>
        <w:t xml:space="preserve">stable productivity channel.</w:t>
      </w:r>
      <w:r>
        <w:t xml:space="preserve"> </w:t>
      </w: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lifecycle pattern documented here may not generalise without</w:t>
      </w:r>
      <w:r>
        <w:t xml:space="preserve"> </w:t>
      </w:r>
      <w:r>
        <w:t xml:space="preserve">modification to economies whose digital infrastructure or export composition follows a different</w:t>
      </w:r>
      <w:r>
        <w:t xml:space="preserve"> </w:t>
      </w:r>
      <w:r>
        <w:t xml:space="preserve">trajectory.</w:t>
      </w:r>
      <w:r>
        <w:t xml:space="preserve"> </w:t>
      </w:r>
      <w:r>
        <w:t xml:space="preserve">Fourth, the cross-wave evidence is uneven in statistical strength.</w:t>
      </w:r>
    </w:p>
    <w:p>
      <w:pPr>
        <w:pStyle w:val="BodyText"/>
      </w:pPr>
      <w:r>
        <w:t xml:space="preserve">The Paternoster et al.</w:t>
      </w:r>
    </w:p>
    <w:p>
      <w:pPr>
        <w:pStyle w:val="BodyText"/>
      </w:pPr>
      <w:r>
        <w:t xml:space="preserve">(1998) z-tests confirm that the drop in</w:t>
      </w:r>
      <w:r>
        <w:t xml:space="preserve"> </w:t>
      </w:r>
      <m:oMath>
        <m:acc>
          <m:accPr>
            <m:chr m:val="̃"/>
          </m:accPr>
          <m:e>
            <m:r>
              <m:rPr>
                <m:sty m:val="p"/>
              </m:rPr>
              <m:t>D</m:t>
            </m:r>
            <m:r>
              <m:rPr>
                <m:sty m:val="p"/>
              </m:rPr>
              <m:t>A</m:t>
            </m:r>
            <m:r>
              <m:rPr>
                <m:sty m:val="p"/>
              </m:rPr>
              <m:t>I</m:t>
            </m:r>
          </m:e>
        </m:acc>
      </m:oMath>
      <w:r>
        <w:t xml:space="preserve"> </w:t>
      </w:r>
      <w:r>
        <w:t xml:space="preserve">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lifecycle interpretation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Future work could exploit policy</w:t>
      </w:r>
      <w:r>
        <w:t xml:space="preserve"> </w:t>
      </w:r>
      <w:r>
        <w:t xml:space="preserve">timing, for example, Vietnam's National Digital Transformation Programme launched in 2020, for sharper identification of the digital channel through a policy-evaluation design rather than</w:t>
      </w:r>
      <w:r>
        <w:t xml:space="preserve"> </w:t>
      </w:r>
      <w:r>
        <w:t xml:space="preserve">a cross-wave comparison.</w:t>
      </w:r>
      <w:r>
        <w:t xml:space="preserve"> </w:t>
      </w: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50"/>
    <w:bookmarkStart w:id="51" w:name="X19cad7d15381a9dfa000caf49ac5c69889e188d"/>
    <w:p>
      <w:pPr>
        <w:pStyle w:val="Heading2"/>
      </w:pPr>
      <w:r>
        <w:t xml:space="preserve">7. Conclusion</w:t>
      </w:r>
    </w:p>
    <w:p>
      <w:pPr>
        <w:pStyle w:val="FirstParagraph"/>
      </w:pPr>
      <w:r>
        <w:t xml:space="preserve">This study revisits the internationalisation–performance relationship in Vietnam by distinguishing foreign-technology / standards capability from foundational digital adoption and by comparing pooled with wave-specific evidence.</w:t>
      </w:r>
    </w:p>
    <w:p>
      <w:pPr>
        <w:pStyle w:val="BodyText"/>
      </w:pPr>
      <w:r>
        <w:t xml:space="preserve">The findings show that the internationalisation–</w:t>
      </w:r>
    </w:p>
    <w:p>
      <w:pPr>
        <w:pStyle w:val="BodyText"/>
      </w:pPr>
      <w:r>
        <w:t xml:space="preserve">performance relationship is non-monotonic in the full sample, but that this pattern is driven</w:t>
      </w:r>
      <w:r>
        <w:t xml:space="preserve"> </w:t>
      </w:r>
      <w:r>
        <w:t xml:space="preserve">primarily by a participation-and-intensity structure rather than by strong within-exporter curvature alone.</w:t>
      </w:r>
      <w:r>
        <w:t xml:space="preserve"> </w:t>
      </w:r>
      <w:r>
        <w:t xml:space="preserve">The results also show that the two capability domains should not be treated as interchangeable. Technological capability is comparatively stable and identification-robust across specifications, whereas foundational digital adoption is more wave-sensitive and only exhibits withinsample detectable moderation in 2023. The broader implication is that the productivity relevance</w:t>
      </w:r>
      <w:r>
        <w:t xml:space="preserve"> </w:t>
      </w:r>
      <w:r>
        <w:t xml:space="preserve">of basic digital adoption in a transitional economy is real but uneven, and that pooled averages</w:t>
      </w:r>
      <w:r>
        <w:t xml:space="preserve"> </w:t>
      </w:r>
      <w:r>
        <w:t xml:space="preserve">can conceal important temporal heterogeneity in when and how digital adoption matters.</w:t>
      </w:r>
    </w:p>
    <w:bookmarkEnd w:id="51"/>
    <w:bookmarkStart w:id="52" w:name="conflict-of-interest"/>
    <w:p>
      <w:pPr>
        <w:pStyle w:val="Heading2"/>
      </w:pPr>
      <w:r>
        <w:t xml:space="preserve">Conflict of interest</w:t>
      </w:r>
    </w:p>
    <w:p>
      <w:pPr>
        <w:pStyle w:val="FirstParagraph"/>
      </w:pPr>
      <w:r>
        <w:t xml:space="preserve">The authors declare no conflict of interest.</w:t>
      </w:r>
    </w:p>
    <w:bookmarkEnd w:id="52"/>
    <w:bookmarkStart w:id="53"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53"/>
    <w:bookmarkStart w:id="54"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54"/>
    <w:bookmarkStart w:id="5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55"/>
    <w:bookmarkStart w:id="56" w:name="acknowledgements"/>
    <w:p>
      <w:pPr>
        <w:pStyle w:val="Heading2"/>
      </w:pPr>
      <w:r>
        <w:t xml:space="preserve">Acknowledgements</w:t>
      </w:r>
    </w:p>
    <w:p>
      <w:pPr>
        <w:pStyle w:val="FirstParagraph"/>
      </w:pPr>
      <w:r>
        <w:t xml:space="preserve">This study uses data from the World Bank Enterprise Surveys. We thank the Enterprise Analysis</w:t>
      </w:r>
      <w:r>
        <w:t xml:space="preserve"> </w:t>
      </w:r>
      <w:r>
        <w:t xml:space="preserve">Unit of the Development Economics Global Indicators Group of the World Bank for providing</w:t>
      </w:r>
      <w:r>
        <w:t xml:space="preserve"> </w:t>
      </w:r>
      <w:r>
        <w:t xml:space="preserve">access to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56"/>
    <w:bookmarkStart w:id="57"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1),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3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57"/>
    <w:bookmarkStart w:id="58" w:name="references"/>
    <w:p>
      <w:pPr>
        <w:pStyle w:val="Heading2"/>
      </w:pPr>
      <w:r>
        <w:t xml:space="preserve">References</w:t>
      </w:r>
    </w:p>
    <w:p>
      <w:pPr>
        <w:pStyle w:val="FirstParagraph"/>
      </w:pPr>
      <w:r>
        <w:t xml:space="preserve">Aguinis, H., Hill, N. S., and Bailey, J. R. (2021). Best practices in data collection and preparation: Recommendations for reviewers, editors, and authors. Organizational Research Methods, 24(4):678–693.</w:t>
      </w:r>
    </w:p>
    <w:p>
      <w:pPr>
        <w:pStyle w:val="BodyText"/>
      </w:pPr>
      <w:r>
        <w:t xml:space="preserve">Antonakis, J., Bendahan, S., Jacquart, P., and Lalive, R. (2010). On making causal claims: A review and recommendations. The Leadership Quarterly, 21(6):1086–1120.</w:t>
      </w:r>
    </w:p>
    <w:p>
      <w:pPr>
        <w:pStyle w:val="BodyText"/>
      </w:pPr>
      <w:r>
        <w:t xml:space="preserve">Author Citation (2026,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Banalieva, E. R. and Dhanaraj, C. (2019). Internalization theory for the digital economy. Journal of International Business Studies, 50(8):1372–1387.</w:t>
      </w:r>
    </w:p>
    <w:p>
      <w:pPr>
        <w:pStyle w:val="BodyText"/>
      </w:pPr>
      <w:r>
        <w:t xml:space="preserve">Bernard, A. B., Jensen, J. B., Redding, S. J., and Schott, P. K. (2007). Firms in international trade. Journal of Economic Perspectives, 21(3):105–130.</w:t>
      </w:r>
    </w:p>
    <w:p>
      <w:pPr>
        <w:pStyle w:val="BodyText"/>
      </w:pPr>
      <w:r>
        <w:t xml:space="preserve">Bharadwaj, A., El Sawy, O. A., Pavlou, P. A., and Venkatraman, N. (2013). Digital business strategy: Toward a next generation of insights. MIS Quarterly, 37(2):471–482.</w:t>
      </w:r>
    </w:p>
    <w:p>
      <w:pPr>
        <w:pStyle w:val="BodyText"/>
      </w:pPr>
      <w:r>
        <w:t xml:space="preserve">Brouthers, K. D., Geisser, K. D., and Rothlauf, F. (2016). Explaining the internationalization of ibusiness firms. Journal of International Business Studies, 47(5):513–534.</w:t>
      </w:r>
    </w:p>
    <w:p>
      <w:pPr>
        <w:pStyle w:val="BodyText"/>
      </w:pPr>
      <w:r>
        <w:t xml:space="preserve">Brynjolfsson, E., Rock, D., and Syverson, C. (2021). The productivity J-curve: How intangibles complement general purpose technologies. American Economic Journal: Macroeconomics, 13(1):333–372.</w:t>
      </w:r>
    </w:p>
    <w:p>
      <w:pPr>
        <w:pStyle w:val="BodyText"/>
      </w:pPr>
      <w:r>
        <w:t xml:space="preserve">Certo, S. T., Busenbark, J. R., Woo, H.-s., and Semadeni, M. (2016). and Heckman models in strategic management research. Sample selection bias Strategic Management Journal, 37(13):2639–2657.</w:t>
      </w:r>
    </w:p>
    <w:p>
      <w:pPr>
        <w:pStyle w:val="BodyText"/>
      </w:pPr>
      <w:r>
        <w:t xml:space="preserve">Cohen, W. M. and Levinthal, D. A. (1990). Absorptive capacity: A new perspective on learning and innovation. Administrative Science Quarterly, 35(1):128–152.</w:t>
      </w:r>
    </w:p>
    <w:p>
      <w:pPr>
        <w:pStyle w:val="BodyText"/>
      </w:pPr>
      <w:r>
        <w:t xml:space="preserve">Contractor, F. J. (2007). Is international business good for companies? The evolutionary or multi-stage theory of internationalization vs. the transaction cost perspective. Management International Review, 47(3):453–475.</w:t>
      </w:r>
    </w:p>
    <w:p>
      <w:pPr>
        <w:pStyle w:val="BodyText"/>
      </w:pPr>
      <w:r>
        <w:t xml:space="preserve">Coviello, N., Kano, L., and Liesch, P. W. (2017). Adapting the Uppsala model to a modern world: Macro-context and microfoundations. Journal of International Business Studies, 48(9):1151– 1164. Cuervo-Cazurra, A. and Genc, M. (2008). Transforming disadvantages into advantages: Developing-country MNEs in the least developed countries. Journal of International Business Studies, 39(6):957–979.</w:t>
      </w:r>
    </w:p>
    <w:p>
      <w:pPr>
        <w:pStyle w:val="BodyText"/>
      </w:pPr>
      <w:r>
        <w:t xml:space="preserve">Eisenhardt, K. M. and Martin, J. A. (2000). Dynamic capabilities: What are they? Strategic Management Journal, 21(10–11):1105–1121.</w:t>
      </w:r>
    </w:p>
    <w:p>
      <w:pPr>
        <w:pStyle w:val="BodyText"/>
      </w:pPr>
      <w:r>
        <w:t xml:space="preserve">Goldfarb, A. and Tucker, C. (2019). Digital economics. Journal of Economic Literature, 57(1):3– 43.</w:t>
      </w:r>
    </w:p>
    <w:p>
      <w:pPr>
        <w:pStyle w:val="BodyText"/>
      </w:pPr>
      <w:r>
        <w:t xml:space="preserve">Haans, R. F. J., Pieters, C., and He, Z.-L. (2016). Thinking about U: Theorizing and testing Uand inverted-U-shaped relationships in strategy research. Strategic Management Journal, 37(7):1177–1195.</w:t>
      </w:r>
    </w:p>
    <w:p>
      <w:pPr>
        <w:pStyle w:val="BodyText"/>
      </w:pPr>
      <w:r>
        <w:t xml:space="preserve">Hanelt, A., Bohnsack, R., Marz, D., and Antunes Marante, C. (2021). A systematic review of the literature on digital transformation: Insights and implications for strategy and organizational change. Journal of Management Studies, 58(5):1159–1197.</w:t>
      </w:r>
    </w:p>
    <w:p>
      <w:pPr>
        <w:pStyle w:val="BodyText"/>
      </w:pPr>
      <w:r>
        <w:t xml:space="preserve">Heckman, J. J. (1979). Sample selection bias as a specification error. Econometrica, 47(1):153– 161.</w:t>
      </w:r>
    </w:p>
    <w:p>
      <w:pPr>
        <w:pStyle w:val="BodyText"/>
      </w:pPr>
      <w:r>
        <w:t xml:space="preserve">Hennart, J.-F. (2007). The theoretical rationale for a multinationality–performance relationship. Management International Review, 47(3):423–452.</w:t>
      </w:r>
    </w:p>
    <w:p>
      <w:pPr>
        <w:pStyle w:val="BodyText"/>
      </w:pPr>
      <w:r>
        <w:t xml:space="preserve">Hennart, J.-F. (2011). A theoretical assessment of the empirical literature on the impact of multinationality on performance. Global Strategy Journal, 1(1–2):135–151.</w:t>
      </w:r>
    </w:p>
    <w:p>
      <w:pPr>
        <w:pStyle w:val="BodyText"/>
      </w:pPr>
      <w:r>
        <w:t xml:space="preserve">Karna, A., Richter, A., and Riesenkampff, E. (2016). Revisiting the role of the environment in the capabilities–financial performance relationship: A meta-analysis. Strategic Management Journal, 37(6):1154–1173.</w:t>
      </w:r>
    </w:p>
    <w:p>
      <w:pPr>
        <w:pStyle w:val="BodyText"/>
      </w:pPr>
      <w:r>
        <w:t xml:space="preserve">Knight, G. A. and Liesch, P. W. (2016). Internationalization: From incremental to born global. Journal of World Business, 51(1):93–102.</w:t>
      </w:r>
    </w:p>
    <w:p>
      <w:pPr>
        <w:pStyle w:val="BodyText"/>
      </w:pPr>
      <w:r>
        <w:t xml:space="preserve">Lall, S. (1992). Technological capabilities and industrialization. World Development, 20(2):165–186.</w:t>
      </w:r>
    </w:p>
    <w:p>
      <w:pPr>
        <w:pStyle w:val="BodyText"/>
      </w:pPr>
      <w:r>
        <w:t xml:space="preserve">Lind, J. T. and Mehlum, H. (2010). With or without U? The appropriate test for a U-shaped relationship. Oxford Bulletin of Economics and Statistics, 72(1):109–118.</w:t>
      </w:r>
    </w:p>
    <w:p>
      <w:pPr>
        <w:pStyle w:val="BodyText"/>
      </w:pPr>
      <w:r>
        <w:t xml:space="preserve">Lu, J. W. and Beamish, P. W. (2004). International diversification and firm performance: The S-curve hypothesis. Academy of Management Journal, 47(4):598–609.</w:t>
      </w:r>
    </w:p>
    <w:p>
      <w:pPr>
        <w:pStyle w:val="BodyText"/>
      </w:pPr>
      <w:r>
        <w:t xml:space="preserve">Marano, V., Arregle, J.-L., Hitt, M. A., Spadafora, E., and van Essen, M. (2016). Home country institutions and the internationalization–performance relationship: A meta-analytic review. Journal of Management, 42(5):1075–1110.</w:t>
      </w:r>
    </w:p>
    <w:p>
      <w:pPr>
        <w:pStyle w:val="BodyText"/>
      </w:pPr>
      <w:r>
        <w:t xml:space="preserve">Nambisan, S., Wright, M., and Feldman, M. (2019). The digital transformation of innovation and entrepreneurship: Progress, challenges and key themes. Research Policy, 48(8):103773.</w:t>
      </w:r>
    </w:p>
    <w:p>
      <w:pPr>
        <w:pStyle w:val="BodyText"/>
      </w:pPr>
      <w:r>
        <w:t xml:space="preserve">Oster, E. (2019). Unobservable selection and coefficient stability: Theory and evidence. Journal of Business &amp; Economic Statistics, 37(2):187–204.</w:t>
      </w:r>
    </w:p>
    <w:p>
      <w:pPr>
        <w:pStyle w:val="BodyText"/>
      </w:pPr>
      <w:r>
        <w:t xml:space="preserve">Paternoster, R., Brame, R., Mazerolle, P., and Piquero, A. (1998). Using the correct statistical test for the equality of regression coefficients. Criminology, 36(4):859–866.</w:t>
      </w:r>
    </w:p>
    <w:p>
      <w:pPr>
        <w:pStyle w:val="BodyText"/>
      </w:pPr>
      <w:r>
        <w:t xml:space="preserve">Petricevic, O. and Teece, D. J. (2019). The structural reshaping of globalization: Implications for strategic sectors, profiting from innovation, and the multinational enterprise. Journal of International Business Studies, 50(9):1487–1512.</w:t>
      </w:r>
    </w:p>
    <w:p>
      <w:pPr>
        <w:pStyle w:val="BodyText"/>
      </w:pPr>
      <w:r>
        <w:t xml:space="preserve">Pisani, N., Garcia-Bernardo, J., and Heemskerk, E. (2020). Does it pay to be a multinational? A large-sample, cross-national replication assessing the multinationality–performance relationship. Strategic Management Journal, 41(1):152–172.</w:t>
      </w:r>
    </w:p>
    <w:p>
      <w:pPr>
        <w:pStyle w:val="BodyText"/>
      </w:pPr>
      <w:r>
        <w:t xml:space="preserve">Shaver, J. M. (2020). Causal identification through a cumulative body of research in the study of strategy and organizations. Journal of Management, 46(7):1244–1256.</w:t>
      </w:r>
    </w:p>
    <w:p>
      <w:pPr>
        <w:pStyle w:val="BodyText"/>
      </w:pPr>
      <w:r>
        <w:t xml:space="preserve">Stallkamp, M. and Schotter, A. P. J. (2021). Platforms without borders? The international strategies of digital platform firms. Global Strategy Journal, 11(1):58–80.</w:t>
      </w:r>
    </w:p>
    <w:p>
      <w:pPr>
        <w:pStyle w:val="BodyText"/>
      </w:pPr>
      <w:r>
        <w:t xml:space="preserve">Strange, R. and Zucchella, A. (2017). Industry 4.0, global value chains and international business. Multinational Business Review, 25(3):174–184.</w:t>
      </w:r>
    </w:p>
    <w:p>
      <w:pPr>
        <w:pStyle w:val="BodyText"/>
      </w:pPr>
      <w:r>
        <w:t xml:space="preserve">Teece, D. J. (2007). Explicating dynamic capabilities: The nature and microfoundations of (sustainable) enterprise performance. Strategic Management Journal, 28(13):1319–1350.</w:t>
      </w:r>
    </w:p>
    <w:p>
      <w:pPr>
        <w:pStyle w:val="BodyText"/>
      </w:pPr>
      <w:r>
        <w:t xml:space="preserve">Vahlne, J.-E. (2020). Development of the Uppsala model of internationalization process: From internationalization to evolution. Global Strategy Journal, 10(2):239–250.</w:t>
      </w:r>
    </w:p>
    <w:p>
      <w:pPr>
        <w:pStyle w:val="BodyText"/>
      </w:pPr>
      <w:r>
        <w:t xml:space="preserve">Vahlne, J.-E. and Johanson, J. (2017). From internationalization to evolution: The Uppsala model at 40 years. Journal of International Business Studies, 48(9):1087–1102.</w:t>
      </w:r>
    </w:p>
    <w:p>
      <w:pPr>
        <w:pStyle w:val="BodyText"/>
      </w:pPr>
      <w:r>
        <w:t xml:space="preserve">Verhoef, P. C., Broekhuizen, T., Bart, Y., Bhattacharya, A., Dong, J. Q., Fabian, N., and Haenlein, M. (2021). Digital transformation: A multidisciplinary reflection and research agenda. Journal of Business Research, 122:889–901.</w:t>
      </w:r>
    </w:p>
    <w:p>
      <w:pPr>
        <w:pStyle w:val="BodyText"/>
      </w:pPr>
      <w:r>
        <w:t xml:space="preserve">Vernon, R. (1979). The product cycle hypothesis in a new international environment. Oxford Bulletin of Economics and Statistics, 41(4):255–267.</w:t>
      </w:r>
    </w:p>
    <w:p>
      <w:pPr>
        <w:pStyle w:val="BodyText"/>
      </w:pPr>
      <w:r>
        <w:t xml:space="preserve">Vial, G. (2019). Understanding digital transformation: A review and a research agenda. Journal of Strategic Information Systems, 28(2):118–144.</w:t>
      </w:r>
    </w:p>
    <w:p>
      <w:pPr>
        <w:pStyle w:val="BodyText"/>
      </w:pPr>
      <w:r>
        <w:t xml:space="preserve">Wagner, J. (2007). Exports and productivity: A survey of the evidence from firm-level data. The World Economy, 30(1):60–82.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and Siegel, J. (2019). Misaccounting for endogeneity: The peril of relying on the Heckman two-step method without a valid instrument. Strategic Management Journal, 40(3):432–462.</w:t>
      </w:r>
    </w:p>
    <w:p>
      <w:pPr>
        <w:pStyle w:val="BodyText"/>
      </w:pPr>
      <w:r>
        <w:t xml:space="preserve">Wooldridge, J. M. (2010). Econometric analysis of cross section and panel data. MIT Press, 2nd edition.</w:t>
      </w:r>
    </w:p>
    <w:p>
      <w:pPr>
        <w:pStyle w:val="BodyText"/>
      </w:pPr>
      <w:r>
        <w:t xml:space="preserve">World Bank (2010). Vietnam Enterprise Survey 2009: Data file. Enterprise Surveys, World Bank Group.</w:t>
      </w:r>
    </w:p>
    <w:p>
      <w:pPr>
        <w:pStyle w:val="BodyText"/>
      </w:pPr>
      <w:r>
        <w:t xml:space="preserve">World Bank (2016). Vietnam Enterprise Survey 2015: Data file. Enterprise Surveys, World Bank Group.</w:t>
      </w:r>
    </w:p>
    <w:p>
      <w:pPr>
        <w:pStyle w:val="BodyText"/>
      </w:pPr>
      <w:r>
        <w:t xml:space="preserve">World Bank (2024). Vietnam Enterprise Survey 2023: Data file. Enterprise Surveys, World Bank Group.</w:t>
      </w:r>
    </w:p>
    <w:p>
      <w:pPr>
        <w:pStyle w:val="BodyText"/>
      </w:pPr>
      <w:r>
        <w:t xml:space="preserve">Wright, M., Filatotchev, I., Hoskisson, R. E., and Peng, M. W. (2005). Strategy research in emerging economies: Challenging the conventional wisdom. Journal of Management Studies, 42(1):1–33.</w:t>
      </w:r>
    </w:p>
    <w:p>
      <w:pPr>
        <w:pStyle w:val="BodyText"/>
      </w:pPr>
      <w:r>
        <w:t xml:space="preserve">Wu, F., Fan, D., and Chen, L. (2022). Untangling the internationalization–performance relationship in emerging-economy multinationals: A meta-analytic review. Management International Review, 62(3):315–354.</w:t>
      </w:r>
    </w:p>
    <w:p>
      <w:pPr>
        <w:pStyle w:val="BodyText"/>
      </w:pPr>
      <w:r>
        <w:t xml:space="preserve">Wu, J., Wang, C., Hong, J., Piperopoulos, P., and Zhuo, S. (2016). Internationalization and innovation performance of emerging market enterprises: The role of host-country institutional development. Journal of World Business, 51(2):251–263.</w:t>
      </w:r>
    </w:p>
    <w:bookmarkEnd w:id="58"/>
    <w:bookmarkEnd w:id="5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1"/>
  </w:num>
  <w:num w:numId="1002">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2026-06-14T18:33:25Z</dcterms:created>
  <dcterms:modified xsi:type="dcterms:W3CDTF">2026-06-14T18:33:25Z</dcterms:modified>
</cp:coreProperties>
</file>

<file path=docProps/custom.xml><?xml version="1.0" encoding="utf-8"?>
<Properties xmlns="http://schemas.openxmlformats.org/officeDocument/2006/custom-properties" xmlns:vt="http://schemas.openxmlformats.org/officeDocument/2006/docPropsVTypes"/>
</file>