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7"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w:t>
      </w:r>
      <w:r>
        <w:t xml:space="preserve"> </w:t>
      </w:r>
      <w:r>
        <w:t xml:space="preserve">“</w:t>
      </w:r>
      <w:r>
        <w:t xml:space="preserve">Xây dựng mô hình nghiên cứu về ảnh hưởng của quốc tế hóa đến hiệu quả hoạt động kinh doanh của các doanh nghiệp ở Châu Á</w:t>
      </w:r>
      <w:r>
        <w:t xml:space="preserve">”</w:t>
      </w:r>
      <w:r>
        <w:t xml:space="preserve"> </w:t>
      </w:r>
      <w:r>
        <w:t xml:space="preserve">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Uppsala Model (Johanson &amp; Vahlne, 1977, 2009), Resource-Based View (Barney, 1991; Wernerfelt, 1984), Institutional Theory (North, 1990; Khanna &amp; Palepu, 2010; Peng, 2003) và Upper Echelons Theory (Hambrick &amp; Mason, 1984; Hambrick, 2007), kết hợp với Foundational Digital Adoption Framework (Banalieva &amp; Dhanaraj, 2019; Verhoef et al., 2021; Stallkamp &amp; Schotter, 2021) làm nền tảng lý thuyết. Lược khảo năm dạng hàm quan hệ quốc tế hóa,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dương trong OLS nhưng phụ thuộc bối cảnh và có thể null trong kiểm định nhân quả) và có điều kiện/null ở Advanced (H3b), phân biệt với TCI; H4a–H4c đặc điểm nhà quản trị điều tiết (kinh nghiệm, học vấn, giới tính,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91.982 doanh nghiệp ở 49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P3 Việt Nam (JABS, under review), P4 Singapore (MIR, under review), P5 Trung Quốc (IJOEM, under review),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the Uppsala Model (Johanson &amp; Vahlne, 1977, 2009), the Resource-Based View (Barney, 1991; Wernerfelt, 1984), Institutional Theory (North, 1990; Khanna &amp; Palepu, 2010; Peng, 2003), and Upper Echelons Theory (Hambrick &amp; Mason, 1984; Hambrick, 2007), together with the Foundational Digital Adoption Framework (Banalieva &amp; Dhanaraj, 2019; Verhoef et al., 2021; Stallkamp &amp; Schotter, 2021). A review of five functional forms of the internationalization–performance (I→P) relationship, linear, inverted-U, S-curve, M-curve, and forced penalty,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positive under OLS but subject to selection bias (P3 IV: β = 0.018, p = .942),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91,982 firms across 49 Asian and Pacific economies (96,415 ICRV-classified across 52 source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P3 Vietnam (JABS, under review), P4 Singapore (MIR, under review), P5 China (IJOEM, under review),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câu hỏi phụ, biến số, giả thuyết,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biến WBES, kỳ vọng dấu, giả thuyết</w:t>
      </w:r>
    </w:p>
    <w:p>
      <w:pPr>
        <w:pStyle w:val="BodyText"/>
      </w:pPr>
      <w:r>
        <w:t xml:space="preserve">Bảng 2.5. Hệ giả thuyết H1–H6, tóm tắt cơ chế, biến, kỳ vọng, và bằng chứng neo đậu</w:t>
      </w:r>
    </w:p>
    <w:p>
      <w:pPr>
        <w:pStyle w:val="BodyText"/>
      </w:pPr>
      <w:r>
        <w:t xml:space="preserve">Bảng 2.6. CDCM, Dự đoán tác động DAI theo 3 chiều ngữ cảnh</w:t>
      </w:r>
    </w:p>
    <w:p>
      <w:pPr>
        <w:pStyle w:val="BodyText"/>
      </w:pPr>
      <w:r>
        <w:t xml:space="preserve">Bảng 2.7. Tám mô hình M0–M7,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49 nền kinh tế theo ICRV, đặc điểm và tiêu chí</w:t>
      </w:r>
    </w:p>
    <w:p>
      <w:pPr>
        <w:pStyle w:val="BodyText"/>
      </w:pPr>
      <w:r>
        <w:t xml:space="preserve">Bảng 2.12. Kế hoạch kiểm định độ vững,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tổng quan</w:t>
      </w:r>
    </w:p>
    <w:p>
      <w:pPr>
        <w:pStyle w:val="BodyText"/>
      </w:pPr>
      <w:r>
        <w:t xml:space="preserve">Hình 2.2. Khung khái niệm tích hợp CĐ2,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90" w:name="phần-2-nội-dung-chuyên-đề"/>
    <w:p>
      <w:pPr>
        <w:pStyle w:val="Heading2"/>
      </w:pPr>
      <w:r>
        <w:t xml:space="preserve">Phần 2: NỘI DUNG CHUYÊN ĐỀ</w:t>
      </w:r>
    </w:p>
    <w:bookmarkStart w:id="32" w:name="đặt-vấn-đề"/>
    <w:p>
      <w:pPr>
        <w:pStyle w:val="Heading3"/>
      </w:pPr>
      <w:r>
        <w:t xml:space="preserve">2.1 Đặt vấn đề</w:t>
      </w:r>
    </w:p>
    <w:bookmarkStart w:id="27" w:name="giới-thiệu"/>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Oman; nhóm trung bình cao (ICRV Nhóm III) gồm Trung Quốc, Malaysia, Thái Lan, Kazakhstan, Armenia, Georgia; nhóm chuyển đổi thu nhập trung bình–thấp (ICRV Nhóm IV,</w:t>
      </w:r>
      <w:r>
        <w:t xml:space="preserve"> </w:t>
      </w:r>
      <w:r>
        <w:rPr>
          <w:rStyle w:val="VerbatimChar"/>
        </w:rPr>
        <w:t xml:space="preserve">Lower_mid_transition</w:t>
      </w:r>
      <w:r>
        <w:t xml:space="preserve">) gồm Việt Nam, Ấn Độ, Indonesia, Philippines, Mông Cổ, Bangladesh, Pakistan; nhóm đang nổi (ICRV Nhóm V,</w:t>
      </w:r>
      <w:r>
        <w:t xml:space="preserve"> </w:t>
      </w:r>
      <w:r>
        <w:rPr>
          <w:rStyle w:val="VerbatimChar"/>
        </w:rPr>
        <w:t xml:space="preserve">Emerging</w:t>
      </w:r>
      <w:r>
        <w:t xml:space="preserve">) gồm 17 nền kinh tế (gồm Sri Lanka, Jordan); và nhóm quốc đảo nhỏ (ICRV Nhóm VI,</w:t>
      </w:r>
      <w:r>
        <w:t xml:space="preserve"> </w:t>
      </w:r>
      <w:r>
        <w:rPr>
          <w:rStyle w:val="VerbatimChar"/>
        </w:rPr>
        <w:t xml:space="preserve">SIDS_small</w:t>
      </w:r>
      <w:r>
        <w:t xml:space="preserve">) gồm 8 nền (7 Pacific + Timor-Leste). Tổng cộng 49 nền kinh tế châu Á–Thái Bình Dương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91.982 doanh nghiệp WBES xuyên 49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88,6%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mục-tiêu"/>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91.982 doanh nghiệp xuyên 49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nội-dung"/>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năng lực công nghệ TCI, mức độ áp dụng số DAI, đặc điểm nhà quản trị, chế độ thể chế nội địa,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giới-hạn-của-chuyên-đề"/>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49 nền kinh tế phân theo sáu nhóm ICRV (5+6+6+7+17+8).</w:t>
      </w:r>
    </w:p>
    <w:p>
      <w:pPr>
        <w:pStyle w:val="BodyText"/>
      </w:pPr>
      <w:r>
        <w:t xml:space="preserve">Phạm vi thời gian: 2009–2025 (kèm một đợt khảo sát Oman 2003 trong bộ dữ liệu hợp nhất), bao trùm ba thế hệ schema WBES, tạo thành 101 cặp nền kinh tế–năm trên khung phân tích 49 nền.</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đó là nhiệm vụ của các bài báo tiếp theo trong chuỗi luận án. Chuyên đề này tập trung xây dựng và đặc tả mô hình.</w:t>
      </w:r>
    </w:p>
    <w:bookmarkEnd w:id="30"/>
    <w:bookmarkStart w:id="31" w:name="ý-nghĩa"/>
    <w:p>
      <w:pPr>
        <w:pStyle w:val="Heading4"/>
      </w:pPr>
      <w:r>
        <w:t xml:space="preserve">2.1.5 Ý nghĩa</w:t>
      </w:r>
    </w:p>
    <w:p>
      <w:pPr>
        <w:pStyle w:val="FirstParagraph"/>
      </w:pPr>
      <w:r>
        <w:t xml:space="preserve">Về lý thuyết, chuyên đề đóng góp khung tích hợp 4 tầng kết hợp Foundational Digital Adoption Framework, chưa có khung tương đương trong văn liệu IB cho khu vực 49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đặc biệt trong giai đoạn AI bùng nổ.</w:t>
      </w:r>
    </w:p>
    <w:p>
      <w:r>
        <w:pict>
          <v:rect style="width:0;height:1.5pt" o:hralign="center" o:hrstd="t" o:hr="t"/>
        </w:pict>
      </w:r>
    </w:p>
    <w:bookmarkEnd w:id="31"/>
    <w:bookmarkEnd w:id="32"/>
    <w:bookmarkStart w:id="33" w:name="phương-pháp-nghiên-cứu"/>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85" w:name="kết-quả-và-thảo-luận"/>
    <w:p>
      <w:pPr>
        <w:pStyle w:val="Heading3"/>
      </w:pPr>
      <w:r>
        <w:t xml:space="preserve">2.3 Kết quả và thảo luận</w:t>
      </w:r>
    </w:p>
    <w:bookmarkStart w:id="37" w:name="Xe9d3ddc50a975426938b90e9f8f17c0f4735086"/>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pct" w:w="5000"/>
        <w:tblLook w:firstRow="1" w:lastRow="0" w:firstColumn="0" w:lastColumn="0" w:noHBand="0" w:noVBand="0" w:val="0020"/>
        <w:jc w:val="start"/>
      </w:tblPr>
      <w:tblGrid>
        <w:gridCol w:w="1523"/>
        <w:gridCol w:w="2893"/>
        <w:gridCol w:w="1218"/>
        <w:gridCol w:w="2284"/>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91.982 doanh nghiệp và khung CDCM.</w:t>
      </w:r>
    </w:p>
    <w:p>
      <w:pPr>
        <w:pStyle w:val="BodyText"/>
      </w:pPr>
      <w:r>
        <w:t xml:space="preserve">Bảng 2.13. So sánh đặc điểm phương pháp và phạm vi lý thuyết của các khung tham chiếu chính và CĐ2.</w:t>
      </w:r>
    </w:p>
    <w:tbl>
      <w:tblPr>
        <w:tblStyle w:val="Table"/>
        <w:tblW w:type="pct" w:w="5000"/>
        <w:tblLook w:firstRow="1" w:lastRow="0" w:firstColumn="0" w:lastColumn="0" w:noHBand="0" w:noVBand="0" w:val="0020"/>
        <w:jc w:val="start"/>
      </w:tblPr>
      <w:tblGrid>
        <w:gridCol w:w="630"/>
        <w:gridCol w:w="1260"/>
        <w:gridCol w:w="450"/>
        <w:gridCol w:w="450"/>
        <w:gridCol w:w="1170"/>
        <w:gridCol w:w="1530"/>
        <w:gridCol w:w="900"/>
        <w:gridCol w:w="990"/>
        <w:gridCol w:w="54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dương năm 2009 (β = 0,175), null năm 2015, có tương tác âm năm 2023 (FSTS_c×DAI_z = −0,912, p = 0,043); biến công cụ cho DAI null (β = 0,018, p = 0,942, F bậc một = 34,6),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điểm uốn hàm ý ở FSTS khoảng 88,6% (vùng thưa dữ liệu; kiểm định Lind–Mehlum p = 0,303). DAI×FSTS² = +3,119 (p = 0,005),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pct" w:w="5000"/>
        <w:tblLook w:firstRow="1" w:lastRow="0" w:firstColumn="0" w:lastColumn="0" w:noHBand="0" w:noVBand="0" w:val="0020"/>
        <w:jc w:val="start"/>
      </w:tblPr>
      <w:tblGrid>
        <w:gridCol w:w="513"/>
        <w:gridCol w:w="2273"/>
        <w:gridCol w:w="1613"/>
        <w:gridCol w:w="1613"/>
        <w:gridCol w:w="1906"/>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~88,6%</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~88,6%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JFAR) là bản thảo tiền thân đã công bố, tìm thấy bậc ba (cubic nonlinearity) trong mẫu SMEs Trung Quốc,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khung-lý-thuyết-tích-hợp-4-tầng"/>
    <w:p>
      <w:pPr>
        <w:pStyle w:val="Heading4"/>
      </w:pPr>
      <w:r>
        <w:t xml:space="preserve">2.3.2 Khung lý thuyết tích hợp 4 tầng</w:t>
      </w:r>
    </w:p>
    <w:bookmarkStart w:id="38" w:name="tầng-1-lý-thuyết-quốc-tế-hóa-uppsala"/>
    <w:p>
      <w:pPr>
        <w:pStyle w:val="Heading5"/>
      </w:pPr>
      <w:r>
        <w:t xml:space="preserve">Tầng 1: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2c85e26e6ba3228bf003793c40503d5a193d2b2"/>
    <w:p>
      <w:pPr>
        <w:pStyle w:val="Heading5"/>
      </w:pPr>
      <w:r>
        <w:t xml:space="preserve">Tầng 2: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ec688ca77214a2d5de44d607882fad31cddc4c4"/>
    <w:p>
      <w:pPr>
        <w:pStyle w:val="Heading5"/>
      </w:pPr>
      <w:r>
        <w:t xml:space="preserve">Tầng 3: Lý thuyết thể chế (Institutional Theory)</w:t>
      </w:r>
    </w:p>
    <w:p>
      <w:pPr>
        <w:pStyle w:val="FirstParagraph"/>
      </w:pPr>
      <w:r>
        <w:t xml:space="preserve">North (1990) định nghĩa thể chế là các quy tắc của trò chơi, chính thức (luật pháp, hợp đồng, quyền sở hữu) và phi chính thức (chuẩn mực, văn hóa, mạng lưới),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đo lường bằng đầu vào và đầu ra của hoạt động đổi mới (Tier 3–4); và áp dụng số nền tảng (DAI) gồm sử dụng hạ tầng số cơ bản (website, e-commerce, e-payment), đo lường bằng Tier 1–2.</w:t>
      </w:r>
    </w:p>
    <w:p>
      <w:pPr>
        <w:pStyle w:val="BodyText"/>
      </w:pPr>
      <w:r>
        <w:t xml:space="preserve">Stallkamp và Schotter (2021) chứng minh rằng nền tảng số cho phép doanh nghiệp nhỏ ở thị trường mới nổi quốc tế hóa với chi phí gần bằng zero, thay đổi căn bản logic Uppsala.</w:t>
      </w:r>
    </w:p>
    <w:p>
      <w:pPr>
        <w:pStyle w:val="BodyText"/>
      </w:pPr>
      <w:r>
        <w:t xml:space="preserve">CDCM, Mô hình Áp dụng số và Năng lực phụ thuộc bối cảnh,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câu hỏi phụ, biến số, giả thuyết, bằng chứng neo đậu.</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TCI (RBV/Lall, 1992) đóng vai trò nâng mặt bằng nhân quả; được hỗ trợ bởi hạ tầng số có điều kiện,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gradient ICRV 6 nhóm với gánh nặng tắt buộc ở quốc đảo nhỏ; và thay đổi theo bối cảnh thời gian,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54" w:name="X544ac3c1efd6eca36fd2a6dd76d3c4cb20b85eb"/>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Uppsala Model, Resource-Based View, Institutional Theory, Upper Echelons Theory và Foundational Digital Adoption Framework,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8" w:name="X554d9a38aa5071c54dd41cf832555f814bf88a4"/>
    <w:p>
      <w:pPr>
        <w:pStyle w:val="Heading5"/>
      </w:pPr>
      <w:r>
        <w:t xml:space="preserve">Hình 2.1: Khung khái niệm tích hợp (tổng quan)</w:t>
      </w:r>
    </w:p>
    <w:p>
      <w:pPr>
        <w:pStyle w:val="CaptionedFigure"/>
      </w:pPr>
      <w:r>
        <w:drawing>
          <wp:inline>
            <wp:extent cx="5753100" cy="4009802"/>
            <wp:effectExtent b="0" l="0" r="0" t="0"/>
            <wp:docPr descr="Hình 2.1: Khung khái niệm tích hợp CĐ2" title="" id="46" name="Picture"/>
            <a:graphic>
              <a:graphicData uri="http://schemas.openxmlformats.org/drawingml/2006/picture">
                <pic:pic>
                  <pic:nvPicPr>
                    <pic:cNvPr descr="figures/hinh_2_1_khung_khai_niem.png" id="47" name="Picture"/>
                    <pic:cNvPicPr>
                      <a:picLocks noChangeArrowheads="1" noChangeAspect="1"/>
                    </pic:cNvPicPr>
                  </pic:nvPicPr>
                  <pic:blipFill>
                    <a:blip r:embed="rId45"/>
                    <a:stretch>
                      <a:fillRect/>
                    </a:stretch>
                  </pic:blipFill>
                  <pic:spPr bwMode="auto">
                    <a:xfrm>
                      <a:off x="0" y="0"/>
                      <a:ext cx="5753100" cy="4009802"/>
                    </a:xfrm>
                    <a:prstGeom prst="rect">
                      <a:avLst/>
                    </a:prstGeom>
                    <a:noFill/>
                    <a:ln w="9525">
                      <a:noFill/>
                      <a:headEnd/>
                      <a:tailEnd/>
                    </a:ln>
                  </pic:spPr>
                </pic:pic>
              </a:graphicData>
            </a:graphic>
          </wp:inline>
        </w:drawing>
      </w:r>
    </w:p>
    <w:p>
      <w:pPr>
        <w:pStyle w:val="ImageCaption"/>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H2, DAI, H3, đặc điểm nhà quản trị, H4a–H4c) và cấp quốc gia (ICRV regime, H5, giai đoạn thời gian,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91.982 doanh nghiệp.</w:t>
      </w:r>
    </w:p>
    <w:bookmarkEnd w:id="48"/>
    <w:bookmarkStart w:id="52" w:name="hình-2.2-cơ-chế-cdcm-chi-tiết"/>
    <w:p>
      <w:pPr>
        <w:pStyle w:val="Heading5"/>
      </w:pPr>
      <w:r>
        <w:t xml:space="preserve">Hình 2.2: Cơ chế CDCM chi tiết</w:t>
      </w:r>
    </w:p>
    <w:p>
      <w:pPr>
        <w:pStyle w:val="CaptionedFigure"/>
      </w:pPr>
      <w:r>
        <w:drawing>
          <wp:inline>
            <wp:extent cx="5753100" cy="2573755"/>
            <wp:effectExtent b="0" l="0" r="0" t="0"/>
            <wp:docPr descr="Hình 2.2: Cơ chế CDCM theo ba nhóm ICRV" title="" id="50" name="Picture"/>
            <a:graphic>
              <a:graphicData uri="http://schemas.openxmlformats.org/drawingml/2006/picture">
                <pic:pic>
                  <pic:nvPicPr>
                    <pic:cNvPr descr="figures/hinh_2_2_cdcm_detail.png" id="51" name="Picture"/>
                    <pic:cNvPicPr>
                      <a:picLocks noChangeArrowheads="1" noChangeAspect="1"/>
                    </pic:cNvPicPr>
                  </pic:nvPicPr>
                  <pic:blipFill>
                    <a:blip r:embed="rId49"/>
                    <a:stretch>
                      <a:fillRect/>
                    </a:stretch>
                  </pic:blipFill>
                  <pic:spPr bwMode="auto">
                    <a:xfrm>
                      <a:off x="0" y="0"/>
                      <a:ext cx="5753100" cy="2573755"/>
                    </a:xfrm>
                    <a:prstGeom prst="rect">
                      <a:avLst/>
                    </a:prstGeom>
                    <a:noFill/>
                    <a:ln w="9525">
                      <a:noFill/>
                      <a:headEnd/>
                      <a:tailEnd/>
                    </a:ln>
                  </pic:spPr>
                </pic:pic>
              </a:graphicData>
            </a:graphic>
          </wp:inline>
        </w:drawing>
      </w:r>
    </w:p>
    <w:p>
      <w:pPr>
        <w:pStyle w:val="ImageCaption"/>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vai trò của DAI trong quan hệ I→P thay đổi theo regime thể chế và mức bão hòa số của nền kinh tế. Nhóm I (Singapore, Advanced I, bão hòa số cao): DAI Tier-1+2 vận hành như nguồn lực khuếch đại tình huống, tác động chỉ xuất hiện khi cường độ xuất khẩu đạt ngưỡng cao (FSTS²×DAI = +3,119; P4). Nhóm IV (Việt Nam,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Upper-Middle/Emerging transition, bão hòa số trung bình): DAI Tier-1 phổ biến &gt;60%, mất khả năng phân biệt, giữ như biến kiểm soát không phải biến điều tiết (P5). Cơ chế này giải thích tại sao kết quả</w:t>
      </w:r>
      <w:r>
        <w:t xml:space="preserve"> </w:t>
      </w:r>
      <w:r>
        <w:t xml:space="preserve">“</w:t>
      </w:r>
      <w:r>
        <w:t xml:space="preserve">DAI null</w:t>
      </w:r>
      <w:r>
        <w:t xml:space="preserve">”</w:t>
      </w:r>
      <w:r>
        <w:t xml:space="preserve"> </w:t>
      </w:r>
      <w:r>
        <w:t xml:space="preserve">và</w:t>
      </w:r>
      <w:r>
        <w:t xml:space="preserve"> </w:t>
      </w:r>
      <w:r>
        <w:t xml:space="preserve">“</w:t>
      </w:r>
      <w:r>
        <w:t xml:space="preserve">DAI dương</w:t>
      </w:r>
      <w:r>
        <w:t xml:space="preserve">”</w:t>
      </w:r>
      <w:r>
        <w:t xml:space="preserve"> </w:t>
      </w:r>
      <w:r>
        <w:t xml:space="preserve">đều nhất quán với lý thuyết CDCM, khác nhau ở điều kiện bối cảnh, không mâu thuẫn về lý thuyết nền tảng.</w:t>
      </w:r>
    </w:p>
    <w:bookmarkEnd w:id="52"/>
    <w:bookmarkStart w:id="53" w:name="bảng-2.4-mapping-biến-đầy-đủ"/>
    <w:p>
      <w:pPr>
        <w:pStyle w:val="Heading5"/>
      </w:pPr>
      <w:r>
        <w:t xml:space="preserve">Bảng 2.4: Mapping biến đầy đủ</w:t>
      </w:r>
    </w:p>
    <w:p>
      <w:pPr>
        <w:pStyle w:val="FirstParagraph"/>
      </w:pPr>
      <w:r>
        <w:t xml:space="preserve">Bảng 2.4. Mapping biến đầy đủ: khái niệm lý thuyết, biến WBES, kỳ vọng dấu, giả thuyết.</w:t>
      </w:r>
    </w:p>
    <w:tbl>
      <w:tblPr>
        <w:tblStyle w:val="Table"/>
        <w:tblW w:type="pct" w:w="5000"/>
        <w:tblLook w:firstRow="1" w:lastRow="0" w:firstColumn="0" w:lastColumn="0" w:noHBand="0" w:noVBand="0" w:val="0020"/>
        <w:jc w:val="start"/>
      </w:tblPr>
      <w:tblGrid>
        <w:gridCol w:w="819"/>
        <w:gridCol w:w="1502"/>
        <w:gridCol w:w="1228"/>
        <w:gridCol w:w="1502"/>
        <w:gridCol w:w="1228"/>
        <w:gridCol w:w="1638"/>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III,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53"/>
    <w:bookmarkEnd w:id="54"/>
    <w:bookmarkStart w:id="63" w:name="hệ-giả-thuyết-nghiên-cứu-h1h6"/>
    <w:p>
      <w:pPr>
        <w:pStyle w:val="Heading4"/>
      </w:pPr>
      <w:r>
        <w:t xml:space="preserve">2.3.4 Hệ giả thuyết nghiên cứu (H1–H6)</w:t>
      </w:r>
    </w:p>
    <w:bookmarkStart w:id="55"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55"/>
    <w:bookmarkStart w:id="56" w:name="h1-phi-tuyến-trong-quan-hệ-ip"/>
    <w:p>
      <w:pPr>
        <w:pStyle w:val="Heading5"/>
      </w:pPr>
      <w:r>
        <w:t xml:space="preserve">H1: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regime Advanced-Innovation; P7 pooled toàn mẫu ~36%)</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tắt buộc, không có chữ U ngược điển hình. Lưu ý: P4 Singapore (TP ~88,6%)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chủ yếu dương, điểm uốn ~88,6%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 Nhóm IV (~39–46%) →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tác động tham gia thị trường xuất khẩu là động lực chính của hiệu ứng I→P.</w:t>
      </w:r>
    </w:p>
    <w:p>
      <w:pPr>
        <w:pStyle w:val="BodyText"/>
      </w:pPr>
      <w:r>
        <w:t xml:space="preserve">H1b (biên cường độ, gần phẳng): Trong mẫu chỉ gồm doanh nghiệp xuất khẩu, đường cong I→P gần phẳng, tức là sau khi đã xuất khẩu, việc tăng cường độ tiếp theo không tạo thêm nhiều lợi ích năng suất nếu không có TCI và DAI đủ mạnh.</w:t>
      </w:r>
    </w:p>
    <w:bookmarkEnd w:id="56"/>
    <w:bookmarkStart w:id="57" w:name="h2-tci-điều-tiết-tích-cực-nâng-mặt-bằng"/>
    <w:p>
      <w:pPr>
        <w:pStyle w:val="Heading5"/>
      </w:pPr>
      <w:r>
        <w:t xml:space="preserve">H2: TCI điều tiết tích cực (nâng mặt bằng)</w:t>
      </w:r>
    </w:p>
    <w:p>
      <w:pPr>
        <w:pStyle w:val="FirstParagraph"/>
      </w:pPr>
      <w:r>
        <w:t xml:space="preserve">Cơ sở lý thuyết: RBV (Barney, 1991) cho rằng nguồn lực VRIN tạo lợi thế cạnh tranh bền vững. TCI, năng lực công nghệ nội tại, là nguồn lực VRIN theo Lall (1992) và tích lũy năng lực hấp thụ theo Cohen và Levinthal (1990). Doanh nghiệp có TCI cao: hấp thụ tri thức từ thị trường nước ngoài hiệu quả hơn; có công nghệ sản xuất tiên tiến hơn, năng suất cao hơn ở mọi mức FSTS; và có thể duy trì hiệu quả ở FSTS cao hơn. Cơ chế chính là nâng mặt bằng (level-shift),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TCI là nhân quả. P5 Trung Quốc: β_z(TCI) tăng từ +0,260 (2012) → +0,426 (2024), Paternoster z = −2,55 (p = 0,011), TCI nâng mặt bằng tăng cường theo thời gian. P4 Singapore: β(TCI) = +0,153 (p &lt; 0,01), không điều tiết độ cong,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7"/>
    <w:bookmarkStart w:id="58" w:name="X1c9c953fc89a4348f4f643e69b0c33ec6bd1f9d"/>
    <w:p>
      <w:pPr>
        <w:pStyle w:val="Heading5"/>
      </w:pPr>
      <w:r>
        <w:t xml:space="preserve">H3a–H3b: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DAI mở rộng tình huống có điều kiện. P3 Việt Nam: biến công cụ null β = 0,018 (p = 0,942), OLS dương = phụ thuộc chọn lựa, không nhân quả. P5 Trung Quốc: không điều tiết độ cong.</w:t>
      </w:r>
    </w:p>
    <w:p>
      <w:pPr>
        <w:pStyle w:val="BodyText"/>
      </w:pPr>
      <w:r>
        <w:t xml:space="preserve">Bảng 2.6. CDCM, Dự đoán tác động DAI theo 3 chiều ngữ cảnh.</w:t>
      </w:r>
    </w:p>
    <w:tbl>
      <w:tblPr>
        <w:tblStyle w:val="Table"/>
        <w:tblW w:type="pct" w:w="5000"/>
        <w:tblLook w:firstRow="1" w:lastRow="0" w:firstColumn="0" w:lastColumn="0" w:noHBand="0" w:noVBand="0" w:val="0020"/>
        <w:jc w:val="start"/>
      </w:tblPr>
      <w:tblGrid>
        <w:gridCol w:w="1627"/>
        <w:gridCol w:w="1084"/>
        <w:gridCol w:w="1193"/>
        <w:gridCol w:w="976"/>
        <w:gridCol w:w="2169"/>
        <w:gridCol w:w="867"/>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(Đang nổi)</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(các nền đang nổi và chuyển đổi, Nhóm III–V): Trong các nền kinh tế này, DAI điều tiết tích cực quan hệ FSTS →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Nhóm I–II): Trong các nền kinh tế tiên tiến, tác động trực tiếp không điều kiện của DAI lên ln(LP) có thể null hoặc âm do bão hòa số và single-component measurement (chỉ website binary, Tier-1 proxy,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H3c: β(TCI) ≠ β(DAI) và hai cấu trúc thỏa mãn tiêu chí discriminant validity).</w:t>
      </w:r>
    </w:p>
    <w:bookmarkEnd w:id="58"/>
    <w:bookmarkStart w:id="59" w:name="h4ah4c-đặc-điểm-nhà-quản-trị-điều-tiết"/>
    <w:p>
      <w:pPr>
        <w:pStyle w:val="Heading5"/>
      </w:pPr>
      <w:r>
        <w:t xml:space="preserve">H4a–H4c: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đại diện cho năng lực nhận thức và khả năng tiếp thu kinh nghiệm quốc tế,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kết quả là chỉ báo gián tiếp, không phải kiểm định trực tiếp cấu trúc lý thuyết gốc. Hạn chế này cần được thừa nhận rõ trong phần thảo luận kết quả.</w:t>
      </w:r>
    </w:p>
    <w:bookmarkEnd w:id="59"/>
    <w:bookmarkStart w:id="60" w:name="h5-thể-chế-icrv-điều-tiết-theo-gradient"/>
    <w:p>
      <w:pPr>
        <w:pStyle w:val="Heading5"/>
      </w:pPr>
      <w:r>
        <w:t xml:space="preserve">H5: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tất cả ảnh hưởng đến hiệu quả của quốc tế hóa. Ba cơ chế độc lập giải thích tại sao thể chế tốt hơn tạo ra điểm uốn cao hơn: (A) thực thi hợp đồng, giảm chi phí đại diện trong chuỗi cung ứng quốc tế; (B) phát triển thị trường tài chính, cho phép huy động vốn cho vốn lưu động quốc tế; (C) chất lượng quy định,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pct" w:w="5000"/>
        <w:tblLook w:firstRow="1" w:lastRow="0" w:firstColumn="0" w:lastColumn="0" w:noHBand="0" w:noVBand="0" w:val="0020"/>
        <w:jc w:val="start"/>
      </w:tblPr>
      <w:tblGrid>
        <w:gridCol w:w="2420"/>
        <w:gridCol w:w="3960"/>
        <w:gridCol w:w="15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(regime Advanced-Innovation; pooled toàn mẫu ~36%)</w:t>
            </w:r>
          </w:p>
        </w:tc>
        <w:tc>
          <w:tcPr/>
          <w:p>
            <w:pPr>
              <w:pStyle w:val="Compact"/>
              <w:jc w:val="left"/>
            </w:pPr>
            <w:r>
              <w:t xml:space="preserve">P7 pooled (N=84,910): TP ~36%; regime Advanced-Innovation ~28% (thấp nhất); P4 Singapore TP ~88,6%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w:t>
      </w:r>
      <w:r>
        <w:t xml:space="preserve"> </w:t>
      </w:r>
      <w:r>
        <w:rPr>
          <w:bCs/>
          <w:b/>
        </w:rPr>
        <w:t xml:space="preserve">giảm đơn điệu</w:t>
      </w:r>
      <w:r>
        <w:t xml:space="preserve"> </w:t>
      </w:r>
      <w:r>
        <w:t xml:space="preserve">theo gradient từ Nhóm V (~50–55%) xuống Nhóm I (~28%),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60"/>
    <w:bookmarkStart w:id="61" w:name="h6-tính-không-đồng-nhất-theo-thời-gian"/>
    <w:p>
      <w:pPr>
        <w:pStyle w:val="Heading5"/>
      </w:pPr>
      <w:r>
        <w:t xml:space="preserve">H6: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quan hệ I→P dịch chuyển đáng kể. P5 Trung Quốc: TCI Paternoster p = 0,011, hiệu ứng TCI tăng cường 2012→2024. P5 Trung Quốc: FSTS Paternoster p = 0,545,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61"/>
    <w:bookmarkStart w:id="62" w:name="tổng-hợp-hệ-giả-thuyết"/>
    <w:p>
      <w:pPr>
        <w:pStyle w:val="Heading5"/>
      </w:pPr>
      <w:r>
        <w:t xml:space="preserve">Tổng hợp hệ giả thuyết</w:t>
      </w:r>
    </w:p>
    <w:p>
      <w:pPr>
        <w:pStyle w:val="FirstParagraph"/>
      </w:pPr>
      <w:r>
        <w:t xml:space="preserve">Bảng 2.5. Hệ giả thuyết H1–H6, tóm tắt cơ chế, biến, kỳ vọng, và bằng chứng neo đậu.</w:t>
      </w:r>
    </w:p>
    <w:tbl>
      <w:tblPr>
        <w:tblStyle w:val="Table"/>
        <w:tblW w:type="pct" w:w="5000"/>
        <w:tblLook w:firstRow="1" w:lastRow="0" w:firstColumn="0" w:lastColumn="0" w:noHBand="0" w:noVBand="0" w:val="0020"/>
        <w:jc w:val="start"/>
      </w:tblPr>
      <w:tblGrid>
        <w:gridCol w:w="642"/>
        <w:gridCol w:w="535"/>
        <w:gridCol w:w="1819"/>
        <w:gridCol w:w="1712"/>
        <w:gridCol w:w="963"/>
        <w:gridCol w:w="2247"/>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nhóm đang nổi/chuyển đổi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Mười một mệnh đề con dưới sáu giả thuyết chính H1–H6 (H1a–H1b, H2, H3a–H3b với H3c distinctiveness, H4a–H4c, H5, H6) tạo thành hệ thống logic nhất quán: H1a/H1b (phi tuyến,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câu hỏi chưa được trả lời trong bất kỳ nghiên cứu I→P nào trước đây.</w:t>
      </w:r>
    </w:p>
    <w:bookmarkEnd w:id="62"/>
    <w:bookmarkEnd w:id="63"/>
    <w:bookmarkStart w:id="74" w:name="thiết-kế-mô-hình-thực-nghiệm-m0m7"/>
    <w:p>
      <w:pPr>
        <w:pStyle w:val="Heading4"/>
      </w:pPr>
      <w:r>
        <w:t xml:space="preserve">2.3.5 Thiết kế mô hình thực nghiệm (M0–M7)</w:t>
      </w:r>
    </w:p>
    <w:bookmarkStart w:id="64"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64"/>
    <w:bookmarkStart w:id="65" w:name="m0-baseline-tuyến-tính"/>
    <w:p>
      <w:pPr>
        <w:pStyle w:val="Heading5"/>
      </w:pPr>
      <w:r>
        <w:t xml:space="preserve">M0: Baseline tuyến tính</w:t>
      </w:r>
    </w:p>
    <w:p>
      <w:pPr>
        <w:pStyle w:val="FirstParagraph"/>
      </w:pP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cung cấp ước lượng cận dưới cho tác động quốc tế hóa.</w:t>
      </w:r>
    </w:p>
    <w:bookmarkEnd w:id="65"/>
    <w:bookmarkStart w:id="66" w:name="X75646ecbe4363f90b6d09bbb84a86967944c7db"/>
    <w:p>
      <w:pPr>
        <w:pStyle w:val="Heading5"/>
      </w:pPr>
      <w:r>
        <w:t xml:space="preserve">M1: Chữ U ngược bậc hai (kiểm định H1 bậc hai)</w:t>
      </w:r>
    </w:p>
    <w:p>
      <w:pPr>
        <w:pStyle w:val="FirstParagraph"/>
      </w:pPr>
    </w:p>
    <w:p>
      <w:pPr>
        <w:pStyle w:val="BodyText"/>
      </w:pPr>
      <w:r>
        <w:t xml:space="preserve">Mục đích: kiểm định chữ U ngược trong H1, dạng hàm phổ biến nhất trong văn liệu.</w:t>
      </w:r>
      <w:r>
        <w:t xml:space="preserve"> </w:t>
      </w:r>
      <w:r>
        <w:t xml:space="preserve">Kỳ vọng: β₁ &gt; 0, β₂ &lt; 0.</w:t>
      </w:r>
      <w:r>
        <w:t xml:space="preserve"> </w:t>
      </w:r>
      <w:r>
        <w:t xml:space="preserve">Điểm uốn: TP₁ = −β₁/(2β₂), mức FSTS tối ưu (trên thang mean-centered).</w:t>
      </w:r>
      <w:r>
        <w:t xml:space="preserve"> </w:t>
      </w:r>
      <w:r>
        <w:t xml:space="preserve">Kiểm định bổ sung: Lind–Mehlum (2010) để xác nhận chữ U ngược thực sự.</w:t>
      </w:r>
    </w:p>
    <w:bookmarkEnd w:id="66"/>
    <w:bookmarkStart w:id="67" w:name="m2-s-curve-bậc-ba-kiểm-định-h1-đầy-đủ"/>
    <w:p>
      <w:pPr>
        <w:pStyle w:val="Heading5"/>
      </w:pPr>
      <w:r>
        <w:t xml:space="preserve">M2: S-curve bậc ba (kiểm định H1 đầy đủ)</w:t>
      </w:r>
    </w:p>
    <w:p>
      <w:pPr>
        <w:pStyle w:val="FirstParagraph"/>
      </w:pP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7"/>
    <w:bookmarkStart w:id="68" w:name="m3-điều-tiết-tci-kiểm-định-h2"/>
    <w:p>
      <w:pPr>
        <w:pStyle w:val="Heading5"/>
      </w:pPr>
      <w:r>
        <w:t xml:space="preserve">M3: + Điều tiết TCI (kiểm định H2)</w:t>
      </w:r>
    </w:p>
    <w:p>
      <w:pPr>
        <w:pStyle w:val="FirstParagraph"/>
      </w:pPr>
    </w:p>
    <w:p>
      <w:pPr>
        <w:pStyle w:val="BodyText"/>
      </w:pPr>
      <w:r>
        <w:t xml:space="preserve">Mục đích: kiểm định H2,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8"/>
    <w:bookmarkStart w:id="69" w:name="m4-điều-tiết-dai-kiểm-định-h3"/>
    <w:p>
      <w:pPr>
        <w:pStyle w:val="Heading5"/>
      </w:pPr>
      <w:r>
        <w:t xml:space="preserve">M4: + Điều tiết DAI (kiểm định H3)</w:t>
      </w:r>
    </w:p>
    <w:p>
      <w:pPr>
        <w:pStyle w:val="FirstParagraph"/>
      </w:pPr>
    </w:p>
    <w:p>
      <w:pPr>
        <w:pStyle w:val="BodyText"/>
      </w:pPr>
      <w:r>
        <w:t xml:space="preserve">Mục đích: kiểm định H3,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9"/>
    <w:bookmarkStart w:id="70" w:name="Xa11d8e594967f6dc9b7fd56ec467a6a3177254d"/>
    <w:p>
      <w:pPr>
        <w:pStyle w:val="Heading5"/>
      </w:pPr>
      <w:r>
        <w:t xml:space="preserve">M5: + Điều tiết nhà quản trị (kiểm định H4a/H4b/H4c)</w:t>
      </w:r>
    </w:p>
    <w:p>
      <w:pPr>
        <w:pStyle w:val="FirstParagraph"/>
      </w:pPr>
    </w:p>
    <w:p>
      <w:pPr>
        <w:pStyle w:val="BodyText"/>
      </w:pPr>
      <w:r>
        <w:t xml:space="preserve">Biến Manager theo thứ tự ưu tiên: exp_manager (b5, H4a), biến chính với kỳ vọng β₄ &gt; 0; educ_manager (b7a, H4b), biến phụ với kỳ vọng β₄ &gt; 0; gender_manager (b7, H4c), khám phá, kiểm định two-sided.</w:t>
      </w:r>
      <w:r>
        <w:t xml:space="preserve"> </w:t>
      </w:r>
      <w:r>
        <w:t xml:space="preserve">Kỳ vọng: β₄(FSTS×exp_manager) &gt; 0 [H4a]; β₄(FSTS×educ_manager) &gt; 0 [H4b]; β₄(FSTS×gender_manager), không có kỳ vọng tiên nghiệm [H4c].</w:t>
      </w:r>
    </w:p>
    <w:bookmarkEnd w:id="70"/>
    <w:bookmarkStart w:id="71" w:name="m6-chế-độ-thể-chế-icrv-kiểm-định-h5"/>
    <w:p>
      <w:pPr>
        <w:pStyle w:val="Heading5"/>
      </w:pPr>
      <w:r>
        <w:t xml:space="preserve">M6: + Chế độ thể chế ICRV (kiểm định H5)</w:t>
      </w:r>
    </w:p>
    <w:p>
      <w:pPr>
        <w:pStyle w:val="FirstParagraph"/>
      </w:pPr>
    </w:p>
    <w:p>
      <w:pPr>
        <w:pStyle w:val="BodyText"/>
      </w:pPr>
      <w:r>
        <w:t xml:space="preserve">Mục đích: kiểm định H5,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thay bằng Year FE + Region FE (6 vùng).</w:t>
      </w:r>
    </w:p>
    <w:bookmarkEnd w:id="71"/>
    <w:bookmarkStart w:id="72" w:name="Xf830d1be5186ac8af15f5b67785ac8d9f713bf8"/>
    <w:p>
      <w:pPr>
        <w:pStyle w:val="Heading5"/>
      </w:pPr>
      <w:r>
        <w:t xml:space="preserve">M7: Điều tiết ba chiều tổng lực (kiểm định H2 + H3 + H6 đồng thời)</w:t>
      </w:r>
    </w:p>
    <w:p>
      <w:pPr>
        <w:pStyle w:val="FirstParagraph"/>
      </w:pP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dễ dàng đáp ứng với pool 91.982.</w:t>
      </w:r>
    </w:p>
    <w:bookmarkEnd w:id="72"/>
    <w:bookmarkStart w:id="73" w:name="bảng-tổng-hợp-mô-hình"/>
    <w:p>
      <w:pPr>
        <w:pStyle w:val="Heading5"/>
      </w:pPr>
      <w:r>
        <w:t xml:space="preserve">Bảng tổng hợp mô hình</w:t>
      </w:r>
    </w:p>
    <w:p>
      <w:pPr>
        <w:pStyle w:val="FirstParagraph"/>
      </w:pPr>
      <w:r>
        <w:t xml:space="preserve">Bảng 2.7. Tám mô hình M0–M7, cấu trúc, giả thuyết kiểm định, và biến bổ sung.</w:t>
      </w:r>
    </w:p>
    <w:tbl>
      <w:tblPr>
        <w:tblStyle w:val="Table"/>
        <w:tblW w:type="pct" w:w="5000"/>
        <w:tblLook w:firstRow="1" w:lastRow="0" w:firstColumn="0" w:lastColumn="0" w:noHBand="0" w:noVBand="0" w:val="0020"/>
        <w:jc w:val="start"/>
      </w:tblPr>
      <w:tblGrid>
        <w:gridCol w:w="990"/>
        <w:gridCol w:w="3740"/>
        <w:gridCol w:w="1320"/>
        <w:gridCol w:w="187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73"/>
    <w:bookmarkEnd w:id="74"/>
    <w:bookmarkStart w:id="79" w:name="dữ-liệu-và-chiến-lược-nhận-dạng-nhân-quả"/>
    <w:p>
      <w:pPr>
        <w:pStyle w:val="Heading4"/>
      </w:pPr>
      <w:r>
        <w:t xml:space="preserve">2.3.6 Dữ liệu và chiến lược nhận dạng nhân quả</w:t>
      </w:r>
    </w:p>
    <w:bookmarkStart w:id="75" w:name="nguồn-dữ-liệu-và-cấu-trúc-pool"/>
    <w:p>
      <w:pPr>
        <w:pStyle w:val="Heading5"/>
      </w:pPr>
      <w:r>
        <w:t xml:space="preserve">Nguồn dữ liệu và cấu trúc pool</w:t>
      </w:r>
    </w:p>
    <w:p>
      <w:pPr>
        <w:pStyle w:val="FirstParagraph"/>
      </w:pPr>
      <w:r>
        <w:t xml:space="preserve">Dữ liệu gốc: World Bank Enterprise Surveys (WBES),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96.415 doanh nghiệp phân loại (52 nền nguồn); mẫu phân tích chính 91.982 doanh nghiệp / 49 nền kinh tế châu Á và Thái Bình Dương; 101 cặp nền kinh tế–năm trong giai đoạn 2009–2025 (kèm một đợt khảo sát Oman 2003 trong bộ dữ liệu hợp nhất).</w:t>
      </w:r>
    </w:p>
    <w:p>
      <w:pPr>
        <w:pStyle w:val="BodyText"/>
      </w:pPr>
      <w:r>
        <w:t xml:space="preserve">Bảng 2.8. Cấu trúc pool theo nhóm ICRV và mốc khảo sát.</w:t>
      </w:r>
    </w:p>
    <w:tbl>
      <w:tblPr>
        <w:tblStyle w:val="Table"/>
        <w:tblW w:type="pct" w:w="5000"/>
        <w:tblLook w:firstRow="1" w:lastRow="0" w:firstColumn="0" w:lastColumn="0" w:noHBand="0" w:noVBand="0" w:val="0020"/>
        <w:jc w:val="start"/>
      </w:tblPr>
      <w:tblGrid>
        <w:gridCol w:w="1697"/>
        <w:gridCol w:w="1697"/>
        <w:gridCol w:w="2262"/>
        <w:gridCol w:w="2262"/>
      </w:tblGrid>
      <w:tr>
        <w:trPr>
          <w:tblHeader w:val="true"/>
        </w:trPr>
        <w:tc>
          <w:tcPr/>
          <w:p>
            <w:pPr>
              <w:pStyle w:val="Compact"/>
              <w:jc w:val="left"/>
            </w:pPr>
            <w:r>
              <w:t xml:space="preserve">ICRV Nhóm (icrv_label)</w:t>
            </w:r>
          </w:p>
        </w:tc>
        <w:tc>
          <w:tcPr/>
          <w:p>
            <w:pPr>
              <w:pStyle w:val="Compact"/>
              <w:jc w:val="left"/>
            </w:pPr>
            <w:r>
              <w:t xml:space="preserve">Nền kinh tế</w:t>
            </w:r>
          </w:p>
        </w:tc>
        <w:tc>
          <w:tcPr/>
          <w:p>
            <w:pPr>
              <w:pStyle w:val="Compact"/>
              <w:jc w:val="center"/>
            </w:pPr>
            <w:r>
              <w:t xml:space="preserve">Số nền</w:t>
            </w:r>
          </w:p>
        </w:tc>
        <w:tc>
          <w:tcPr/>
          <w:p>
            <w:pPr>
              <w:pStyle w:val="Compact"/>
              <w:jc w:val="center"/>
            </w:pPr>
            <w:r>
              <w:t xml:space="preserve">N doanh nghiệp</w:t>
            </w:r>
          </w:p>
        </w:tc>
      </w:tr>
      <w:tr>
        <w:tc>
          <w:tcPr/>
          <w:p>
            <w:pPr>
              <w:pStyle w:val="Compact"/>
              <w:jc w:val="left"/>
            </w:pPr>
            <w:r>
              <w:t xml:space="preserve">I — Adv. đổi mới (</w:t>
            </w:r>
            <w:r>
              <w:rPr>
                <w:rStyle w:val="VerbatimChar"/>
              </w:rPr>
              <w:t xml:space="preserve">Advanced_innovation</w:t>
            </w:r>
            <w:r>
              <w:t xml:space="preserve">)</w:t>
            </w:r>
          </w:p>
        </w:tc>
        <w:tc>
          <w:tcPr/>
          <w:p>
            <w:pPr>
              <w:pStyle w:val="Compact"/>
              <w:jc w:val="left"/>
            </w:pPr>
            <w:r>
              <w:t xml:space="preserve">Singapore, HongKong, Hàn Quốc, Đài Loan, Israel</w:t>
            </w:r>
          </w:p>
        </w:tc>
        <w:tc>
          <w:tcPr/>
          <w:p>
            <w:pPr>
              <w:pStyle w:val="Compact"/>
              <w:jc w:val="center"/>
            </w:pPr>
            <w:r>
              <w:t xml:space="preserve">5</w:t>
            </w:r>
          </w:p>
        </w:tc>
        <w:tc>
          <w:tcPr/>
          <w:p>
            <w:pPr>
              <w:pStyle w:val="Compact"/>
              <w:jc w:val="center"/>
            </w:pPr>
            <w:r>
              <w:t xml:space="preserve">4.222</w:t>
            </w:r>
          </w:p>
        </w:tc>
      </w:tr>
      <w:tr>
        <w:tc>
          <w:tcPr/>
          <w:p>
            <w:pPr>
              <w:pStyle w:val="Compact"/>
              <w:jc w:val="left"/>
            </w:pPr>
            <w:r>
              <w:t xml:space="preserve">II — Adv. tài nguyên (</w:t>
            </w:r>
            <w:r>
              <w:rPr>
                <w:rStyle w:val="VerbatimChar"/>
              </w:rPr>
              <w:t xml:space="preserve">Advanced_resource</w:t>
            </w:r>
            <w:r>
              <w:t xml:space="preserve">)</w:t>
            </w:r>
          </w:p>
        </w:tc>
        <w:tc>
          <w:tcPr/>
          <w:p>
            <w:pPr>
              <w:pStyle w:val="Compact"/>
              <w:jc w:val="left"/>
            </w:pPr>
            <w:r>
              <w:t xml:space="preserve">Saudi Arabia, Qatar, Kuwait, Bahrain, Brunei, Oman</w:t>
            </w:r>
          </w:p>
        </w:tc>
        <w:tc>
          <w:tcPr/>
          <w:p>
            <w:pPr>
              <w:pStyle w:val="Compact"/>
              <w:jc w:val="center"/>
            </w:pPr>
            <w:r>
              <w:t xml:space="preserve">6</w:t>
            </w:r>
          </w:p>
        </w:tc>
        <w:tc>
          <w:tcPr/>
          <w:p>
            <w:pPr>
              <w:pStyle w:val="Compact"/>
              <w:jc w:val="center"/>
            </w:pPr>
            <w:r>
              <w:t xml:space="preserve">2.269</w:t>
            </w:r>
          </w:p>
        </w:tc>
      </w:tr>
      <w:tr>
        <w:tc>
          <w:tcPr/>
          <w:p>
            <w:pPr>
              <w:pStyle w:val="Compact"/>
              <w:jc w:val="left"/>
            </w:pPr>
            <w:r>
              <w:t xml:space="preserve">III — Trung bình cao (</w:t>
            </w:r>
            <w:r>
              <w:rPr>
                <w:rStyle w:val="VerbatimChar"/>
              </w:rPr>
              <w:t xml:space="preserve">Upper_mid</w:t>
            </w:r>
            <w:r>
              <w:t xml:space="preserve">)</w:t>
            </w:r>
          </w:p>
        </w:tc>
        <w:tc>
          <w:tcPr/>
          <w:p>
            <w:pPr>
              <w:pStyle w:val="Compact"/>
              <w:jc w:val="left"/>
            </w:pPr>
            <w:r>
              <w:t xml:space="preserve">Trung Quốc, Malaysia, Thái Lan, Kazakhstan, Armenia, Georgia</w:t>
            </w:r>
          </w:p>
        </w:tc>
        <w:tc>
          <w:tcPr/>
          <w:p>
            <w:pPr>
              <w:pStyle w:val="Compact"/>
              <w:jc w:val="center"/>
            </w:pPr>
            <w:r>
              <w:t xml:space="preserve">6</w:t>
            </w:r>
          </w:p>
        </w:tc>
        <w:tc>
          <w:tcPr/>
          <w:p>
            <w:pPr>
              <w:pStyle w:val="Compact"/>
              <w:jc w:val="center"/>
            </w:pPr>
            <w:r>
              <w:t xml:space="preserve">13.993</w:t>
            </w:r>
          </w:p>
        </w:tc>
      </w:tr>
      <w:tr>
        <w:tc>
          <w:tcPr/>
          <w:p>
            <w:pPr>
              <w:pStyle w:val="Compact"/>
              <w:jc w:val="left"/>
            </w:pPr>
            <w:r>
              <w:t xml:space="preserve">IV — Chuyển đổi TB-thấp (</w:t>
            </w:r>
            <w:r>
              <w:rPr>
                <w:rStyle w:val="VerbatimChar"/>
              </w:rPr>
              <w:t xml:space="preserve">Lower_mid_transition</w:t>
            </w:r>
            <w:r>
              <w:t xml:space="preserve">)</w:t>
            </w:r>
          </w:p>
        </w:tc>
        <w:tc>
          <w:tcPr/>
          <w:p>
            <w:pPr>
              <w:pStyle w:val="Compact"/>
              <w:jc w:val="left"/>
            </w:pPr>
            <w:r>
              <w:t xml:space="preserve">Việt Nam, Ấn Độ, Indonesia, Philippines, Mông Cổ, Bangladesh, Pakistan</w:t>
            </w:r>
          </w:p>
        </w:tc>
        <w:tc>
          <w:tcPr/>
          <w:p>
            <w:pPr>
              <w:pStyle w:val="Compact"/>
              <w:jc w:val="center"/>
            </w:pPr>
            <w:r>
              <w:t xml:space="preserve">7</w:t>
            </w:r>
          </w:p>
        </w:tc>
        <w:tc>
          <w:tcPr/>
          <w:p>
            <w:pPr>
              <w:pStyle w:val="Compact"/>
              <w:jc w:val="center"/>
            </w:pPr>
            <w:r>
              <w:t xml:space="preserve">50.926</w:t>
            </w:r>
          </w:p>
        </w:tc>
      </w:tr>
      <w:tr>
        <w:tc>
          <w:tcPr/>
          <w:p>
            <w:pPr>
              <w:pStyle w:val="Compact"/>
              <w:jc w:val="left"/>
            </w:pPr>
            <w:r>
              <w:t xml:space="preserve">V — Đang nổi (</w:t>
            </w:r>
            <w:r>
              <w:rPr>
                <w:rStyle w:val="VerbatimChar"/>
              </w:rPr>
              <w:t xml:space="preserve">Emerging</w:t>
            </w:r>
            <w:r>
              <w:t xml:space="preserve">)</w:t>
            </w:r>
          </w:p>
        </w:tc>
        <w:tc>
          <w:tcPr/>
          <w:p>
            <w:pPr>
              <w:pStyle w:val="Compact"/>
              <w:jc w:val="left"/>
            </w:pPr>
            <w:r>
              <w:t xml:space="preserve">17 nền (gồm Sri Lanka, Jordan, Nepal, Cambodia, Laos, Uzbekistan…)</w:t>
            </w:r>
          </w:p>
        </w:tc>
        <w:tc>
          <w:tcPr/>
          <w:p>
            <w:pPr>
              <w:pStyle w:val="Compact"/>
              <w:jc w:val="center"/>
            </w:pPr>
            <w:r>
              <w:t xml:space="preserve">17</w:t>
            </w:r>
          </w:p>
        </w:tc>
        <w:tc>
          <w:tcPr/>
          <w:p>
            <w:pPr>
              <w:pStyle w:val="Compact"/>
              <w:jc w:val="center"/>
            </w:pPr>
            <w:r>
              <w:t xml:space="preserve">18.569</w:t>
            </w:r>
          </w:p>
        </w:tc>
      </w:tr>
      <w:tr>
        <w:tc>
          <w:tcPr/>
          <w:p>
            <w:pPr>
              <w:pStyle w:val="Compact"/>
              <w:jc w:val="left"/>
            </w:pPr>
            <w:r>
              <w:t xml:space="preserve">VI — SIDS (</w:t>
            </w:r>
            <w:r>
              <w:rPr>
                <w:rStyle w:val="VerbatimChar"/>
              </w:rPr>
              <w:t xml:space="preserve">SIDS_small</w:t>
            </w:r>
            <w:r>
              <w:t xml:space="preserve">)</w:t>
            </w:r>
          </w:p>
        </w:tc>
        <w:tc>
          <w:tcPr/>
          <w:p>
            <w:pPr>
              <w:pStyle w:val="Compact"/>
              <w:jc w:val="left"/>
            </w:pPr>
            <w:r>
              <w:t xml:space="preserve">Fiji, Kiribati, PNG, Samoa, Solomon, Tonga, Vanuatu, Timor-Leste</w:t>
            </w:r>
          </w:p>
        </w:tc>
        <w:tc>
          <w:tcPr/>
          <w:p>
            <w:pPr>
              <w:pStyle w:val="Compact"/>
              <w:jc w:val="center"/>
            </w:pPr>
            <w:r>
              <w:t xml:space="preserve">8</w:t>
            </w:r>
          </w:p>
        </w:tc>
        <w:tc>
          <w:tcPr/>
          <w:p>
            <w:pPr>
              <w:pStyle w:val="Compact"/>
              <w:jc w:val="center"/>
            </w:pPr>
            <w:r>
              <w:t xml:space="preserve">1.885</w:t>
            </w:r>
          </w:p>
        </w:tc>
      </w:tr>
      <w:tr>
        <w:tc>
          <w:tcPr/>
          <w:p>
            <w:pPr>
              <w:pStyle w:val="Compact"/>
              <w:jc w:val="left"/>
            </w:pPr>
            <w:r>
              <w:rPr>
                <w:bCs/>
                <w:b/>
              </w:rPr>
              <w:t xml:space="preserve">Tổng</w:t>
            </w:r>
          </w:p>
        </w:tc>
        <w:tc>
          <w:tcPr/>
          <w:p>
            <w:pPr>
              <w:pStyle w:val="Compact"/>
            </w:pPr>
          </w:p>
        </w:tc>
        <w:tc>
          <w:tcPr/>
          <w:p>
            <w:pPr>
              <w:pStyle w:val="Compact"/>
              <w:jc w:val="center"/>
            </w:pPr>
            <w:r>
              <w:rPr>
                <w:bCs/>
                <w:b/>
              </w:rPr>
              <w:t xml:space="preserve">49</w:t>
            </w:r>
          </w:p>
        </w:tc>
        <w:tc>
          <w:tcPr/>
          <w:p>
            <w:pPr>
              <w:pStyle w:val="Compact"/>
              <w:jc w:val="center"/>
            </w:pPr>
            <w:r>
              <w:rPr>
                <w:bCs/>
                <w:b/>
              </w:rPr>
              <w:t xml:space="preserve">91.864</w:t>
            </w:r>
            <w:r>
              <w:t xml:space="preserve"> </w:t>
            </w:r>
            <w:r>
              <w:t xml:space="preserve">(≈91.982 mẫu phân tích luận án)</w:t>
            </w:r>
          </w:p>
        </w:tc>
      </w:tr>
    </w:tbl>
    <w:p>
      <w:pPr>
        <w:pStyle w:val="BodyText"/>
      </w:pPr>
      <w:r>
        <w:rPr>
          <w:iCs/>
          <w:i/>
        </w:rPr>
        <w:t xml:space="preserve">Ghi chú: Nhãn nhóm theo biến phân loại</w:t>
      </w:r>
      <w:r>
        <w:rPr>
          <w:iCs/>
          <w:i/>
        </w:rPr>
        <w:t xml:space="preserve"> </w:t>
      </w:r>
      <w:r>
        <w:rPr>
          <w:rStyle w:val="VerbatimChar"/>
          <w:iCs/>
          <w:i/>
        </w:rPr>
        <w:t xml:space="preserve">icrv_label</w:t>
      </w:r>
      <w:r>
        <w:rPr>
          <w:iCs/>
          <w:i/>
        </w:rPr>
        <w:t xml:space="preserve">, dùng thống nhất trong luận án và Chuyên đề 1, Nhóm IV</w:t>
      </w:r>
      <w:r>
        <w:rPr>
          <w:iCs/>
          <w:i/>
        </w:rPr>
        <w:t xml:space="preserve"> </w:t>
      </w:r>
      <w:r>
        <w:rPr>
          <w:rStyle w:val="VerbatimChar"/>
          <w:iCs/>
          <w:i/>
        </w:rPr>
        <w:t xml:space="preserve">Lower_mid_transition</w:t>
      </w:r>
      <w:r>
        <w:rPr>
          <w:iCs/>
          <w:i/>
        </w:rPr>
        <w:t xml:space="preserve"> </w:t>
      </w:r>
      <w:r>
        <w:rPr>
          <w:iCs/>
          <w:i/>
        </w:rPr>
        <w:t xml:space="preserve">(7 nền đông dân), Nhóm V</w:t>
      </w:r>
      <w:r>
        <w:rPr>
          <w:iCs/>
          <w:i/>
        </w:rPr>
        <w:t xml:space="preserve"> </w:t>
      </w:r>
      <w:r>
        <w:rPr>
          <w:rStyle w:val="VerbatimChar"/>
          <w:iCs/>
          <w:i/>
        </w:rPr>
        <w:t xml:space="preserve">Emerging</w:t>
      </w:r>
      <w:r>
        <w:rPr>
          <w:iCs/>
          <w:i/>
        </w:rPr>
        <w:t xml:space="preserve"> </w:t>
      </w:r>
      <w:r>
        <w:rPr>
          <w:iCs/>
          <w:i/>
        </w:rPr>
        <w:t xml:space="preserve">(17 nền), Nhóm VI</w:t>
      </w:r>
      <w:r>
        <w:rPr>
          <w:iCs/>
          <w:i/>
        </w:rPr>
        <w:t xml:space="preserve"> </w:t>
      </w:r>
      <w:r>
        <w:rPr>
          <w:rStyle w:val="VerbatimChar"/>
          <w:iCs/>
          <w:i/>
        </w:rPr>
        <w:t xml:space="preserve">SIDS_small</w:t>
      </w:r>
      <w:r>
        <w:rPr>
          <w:iCs/>
          <w:i/>
        </w:rPr>
        <w:t xml:space="preserve"> </w:t>
      </w:r>
      <w:r>
        <w:rPr>
          <w:iCs/>
          <w:i/>
        </w:rPr>
        <w:t xml:space="preserve">(8 nền). Nghiên cứu chuyên sâu SIDS (P8) lấy mẫu chính 7 nền Thái Bình Dương và kiểm định bền vững mở rộng 9 nền (thêm Comoros + Timor-Leste). Pool phân loại đầy đủ = 96.415 DN/52 nền; loại 3 nền ngoài châu Á (Comoros, Turkey, Cyprus) → khung phân tích 49 nền Á–TBD = 91.864 DN.</w:t>
      </w:r>
    </w:p>
    <w:p>
      <w:pPr>
        <w:pStyle w:val="BodyText"/>
      </w:pPr>
      <w:r>
        <w:t xml:space="preserve">Ba thế hệ schema WBES và giao thức hòa hợp: PICS3 (2006–2012): biến FSTS từ d3b/d3c; TCI từ h1/h8/b8; DAI từ c22b only. Standardized (2013–2017): biến tái định dạng nhưng tương thích. BREADY/BEE (2018–2025):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trong cụm nền kinh tế × năm; và chuẩn hóa năng suất xuyên tiền tệ (xem dưới).</w:t>
      </w:r>
    </w:p>
    <w:bookmarkEnd w:id="75"/>
    <w:bookmarkStart w:id="76" w:name="đo-lường-biến-chi-tiết"/>
    <w:p>
      <w:pPr>
        <w:pStyle w:val="Heading5"/>
      </w:pPr>
      <w:r>
        <w:t xml:space="preserve">Đo lường biến chi tiết</w:t>
      </w:r>
    </w:p>
    <w:p>
      <w:pPr>
        <w:pStyle w:val="FirstParagraph"/>
      </w:pPr>
      <w:r>
        <w:t xml:space="preserve">Biến phụ thuộc,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báo cáo bằng</w:t>
      </w:r>
      <w:r>
        <w:t xml:space="preserve"> </w:t>
      </w:r>
      <w:r>
        <w:rPr>
          <w:bCs/>
          <w:b/>
        </w:rPr>
        <w:t xml:space="preserve">nội tệ</w:t>
      </w:r>
      <w:r>
        <w:t xml:space="preserve"> </w:t>
      </w:r>
      <w:r>
        <w:t xml:space="preserve">của từng nền kinh tế, nên mức</w:t>
      </w:r>
      <w:r>
        <w:t xml:space="preserve"> </w:t>
      </w:r>
      <m:oMath>
        <m:r>
          <m:rPr>
            <m:sty m:val="p"/>
          </m:rPr>
          <m:t>ln</m:t>
        </m:r>
        <m:d>
          <m:dPr>
            <m:begChr m:val="("/>
            <m:endChr m:val=")"/>
            <m:sepChr m:val=""/>
            <m:grow/>
          </m:dPr>
          <m:e>
            <m:r>
              <m:t>L</m:t>
            </m:r>
            <m:r>
              <m:t>P</m:t>
            </m:r>
          </m:e>
        </m:d>
      </m:oMath>
      <w:r>
        <w:t xml:space="preserve"> </w:t>
      </w:r>
      <w:r>
        <w:t xml:space="preserve">thô không so sánh được trực tiếp xuyên quốc gia. Để trung hòa khác biệt đơn vị tiền tệ và mặt bằng giá, năng suất lao động được</w:t>
      </w:r>
      <w:r>
        <w:t xml:space="preserve"> </w:t>
      </w:r>
      <w:r>
        <w:rPr>
          <w:bCs/>
          <w:b/>
        </w:rPr>
        <w:t xml:space="preserve">chuẩn hóa z trong từng cụm nền kinh tế × năm</w:t>
      </w:r>
      <w:r>
        <w:t xml:space="preserve"> </w:t>
      </w:r>
      <w:r>
        <w:t xml:space="preserve">trước khi đưa vào mô hình, và mọi đặc tả đều có</w:t>
      </w:r>
      <w:r>
        <w:t xml:space="preserve"> </w:t>
      </w:r>
      <w:r>
        <w:rPr>
          <w:bCs/>
          <w:b/>
        </w:rPr>
        <w:t xml:space="preserve">hiệu ứng cố định hai chiều (nền kinh tế × năm)</w:t>
      </w:r>
      <w:r>
        <w:t xml:space="preserve"> </w:t>
      </w:r>
      <w:r>
        <w:t xml:space="preserve">hấp thụ toàn bộ thành phần bất biến theo nước (tiền tệ, mặt bằng giá, chế độ kế toán). Cách này bảo đảm hệ số quan hệ I→P được nhận dạng từ biến thiên</w:t>
      </w:r>
      <w:r>
        <w:t xml:space="preserve"> </w:t>
      </w:r>
      <w:r>
        <w:rPr>
          <w:iCs/>
          <w:i/>
        </w:rPr>
        <w:t xml:space="preserve">nội bộ</w:t>
      </w:r>
      <w:r>
        <w:t xml:space="preserve"> </w:t>
      </w:r>
      <w:r>
        <w:t xml:space="preserve">nền kinh tế–năm, nhất quán với Phụ lục A của luận án (§A.5) và nghiên cứu đa quốc gia P7. Mọi so sánh</w:t>
      </w:r>
      <w:r>
        <w:t xml:space="preserve"> </w:t>
      </w:r>
      <w:r>
        <w:rPr>
          <w:bCs/>
          <w:b/>
        </w:rPr>
        <w:t xml:space="preserve">mức</w:t>
      </w:r>
      <w:r>
        <w:t xml:space="preserve"> </w:t>
      </w:r>
      <w:r>
        <w:t xml:space="preserve">xuyên quốc gia dùng tỷ suất không thứ nguyên (ROS) hoặc giá trị đã hiệu chỉnh sức mua tương đương (PPP), không dùng mức</w:t>
      </w:r>
      <w:r>
        <w:t xml:space="preserve"> </w:t>
      </w:r>
      <m:oMath>
        <m:r>
          <m:rPr>
            <m:sty m:val="p"/>
          </m:rPr>
          <m:t>ln</m:t>
        </m:r>
        <m:d>
          <m:dPr>
            <m:begChr m:val="("/>
            <m:endChr m:val=")"/>
            <m:sepChr m:val=""/>
            <m:grow/>
          </m:dPr>
          <m:e>
            <m:r>
              <m:t>L</m:t>
            </m:r>
            <m:r>
              <m:t>P</m:t>
            </m:r>
          </m:e>
        </m:d>
      </m:oMath>
      <w:r>
        <w:t xml:space="preserve"> </w:t>
      </w:r>
      <w:r>
        <w:t xml:space="preserve">thô. Giá trị được winsorize tại phân vị 1/99 trong cụm nền kinh tế × năm để giảm ảnh hưởng ngoại lệ. Lựa chọn năng suất lao động làm thước đo hiệu quả phù hợp với dữ liệu WBES (Combs et al., 2005; Cusolito &amp; Maloney, 2018; Richard et al., 2009).</w:t>
      </w:r>
    </w:p>
    <w:p>
      <w:pPr>
        <w:pStyle w:val="BodyText"/>
      </w:pPr>
      <w:r>
        <w:t xml:space="preserve">Biến độc lập,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 + gián tiếp</m:t>
                  </m:r>
                </m:e>
                <m:sub>
                  <m:r>
                    <m:t>i</m:t>
                  </m:r>
                </m:sub>
              </m:sSub>
            </m:num>
            <m:den>
              <m:sSub>
                <m:e>
                  <m:r>
                    <m:rPr>
                      <m:nor/>
                      <m:sty m:val="p"/>
                    </m:rPr>
                    <m:t>tổng doanh thu hằng năm</m:t>
                  </m:r>
                </m:e>
                <m:sub>
                  <m:r>
                    <m:t>i</m:t>
                  </m:r>
                </m:sub>
              </m:sSub>
            </m:den>
          </m:f>
          <m:r>
            <m:rPr>
              <m:sty m:val="p"/>
            </m:rPr>
            <m:t>=</m:t>
          </m:r>
          <m:f>
            <m:fPr>
              <m:type m:val="bar"/>
            </m:fPr>
            <m:num>
              <m:r>
                <m:t>d</m:t>
              </m:r>
              <m:r>
                <m:t>3</m:t>
              </m:r>
              <m:sSub>
                <m:e>
                  <m:r>
                    <m:t>b</m:t>
                  </m:r>
                </m:e>
                <m:sub>
                  <m:r>
                    <m:t>i</m:t>
                  </m:r>
                </m:sub>
              </m:sSub>
              <m:r>
                <m:rPr>
                  <m:sty m:val="p"/>
                </m:rPr>
                <m:t>+</m:t>
              </m:r>
              <m:r>
                <m:t>d</m:t>
              </m:r>
              <m:r>
                <m:t>3</m:t>
              </m:r>
              <m:sSub>
                <m:e>
                  <m:r>
                    <m:t>c</m:t>
                  </m:r>
                </m:e>
                <m:sub>
                  <m:r>
                    <m:t>i</m:t>
                  </m:r>
                </m:sub>
              </m:sSub>
            </m:num>
            <m:den>
              <m:r>
                <m:t>100</m:t>
              </m:r>
            </m:den>
          </m:f>
        </m:oMath>
      </m:oMathPara>
    </w:p>
    <w:p>
      <w:pPr>
        <w:pStyle w:val="FirstParagraph"/>
      </w:pPr>
      <w:r>
        <w:t xml:space="preserve">d3b là tỉ lệ phần trăm doanh thu xuất khẩu gián tiếp (qua trung gian) và d3c là xuất khẩu trực tiếp, theo nhãn biến chính thức WBES; tổng hai thành phần là định nghĩa tham gia xuất khẩu chuẩn của WBES, dùng thống nhất với khung ước lượng đa quốc gia của luận án (P7). FSTS_c = FSTS − mean(FSTS) trong mỗi ô sóng-quốc gia trước khi tính FSTS². Tỷ trọng doanh thu xuất khẩu là thước đo cường độ quốc tế hóa chuẩn của văn liệu I–P (Lu &amp; Beamish, 2001; Sullivan, 1994); hai nghiên cứu thành phần đơn quốc gia (P3 Việt Nam, P5 Trung Quốc) dùng riêng d3c với luận chứng kênh xuất khẩu trực tiếp/gián tiếp (Hessels &amp; Terjesen, 2010; Peng &amp; Ilinitch, 1998).</w:t>
      </w:r>
    </w:p>
    <w:p>
      <w:pPr>
        <w:pStyle w:val="BodyText"/>
      </w:pPr>
      <w:r>
        <w:t xml:space="preserve">Bảng 2.9. Đo lường TCI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nhất quán với tổng hợp formative, Coltman et al., 2008). Construct phản ánh chiều sâu năng lực công nghệ nội tại theo truyền thống năng lực hấp thụ và năng lực công nghệ hóa công nghiệp (Cohen &amp; Levinthal, 1990; Lall, 1992).</w:t>
      </w:r>
    </w:p>
    <w:p>
      <w:pPr>
        <w:pStyle w:val="BodyText"/>
      </w:pPr>
      <w:r>
        <w:t xml:space="preserve">Bảng 2.10. Đo lường DAI theo mã WBES.</w:t>
      </w:r>
    </w:p>
    <w:tbl>
      <w:tblPr>
        <w:tblStyle w:val="Table"/>
        <w:tblW w:type="pct" w:w="5000"/>
        <w:tblLook w:firstRow="1" w:lastRow="0" w:firstColumn="0" w:lastColumn="0" w:noHBand="0" w:noVBand="0" w:val="0020"/>
        <w:jc w:val="start"/>
      </w:tblPr>
      <w:tblGrid>
        <w:gridCol w:w="1284"/>
        <w:gridCol w:w="1926"/>
        <w:gridCol w:w="1498"/>
        <w:gridCol w:w="321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chỉ có trong schema BEE (2019 trở đi).</w:t>
      </w:r>
      <w:r>
        <w:t xml:space="preserve"> </w:t>
      </w:r>
      <w:r>
        <w:t xml:space="preserve">DAI_z_tier1 (Tier 1 only): z-mean(c22b), có xuyên tất cả schema. Phân tầng đo lường số hóa theo Verhoef et al. (2021); vai trò công cụ số trong quốc tế hóa theo Banalieva &amp; Dhanaraj (2019).</w:t>
      </w:r>
    </w:p>
    <w:p>
      <w:pPr>
        <w:pStyle w:val="BodyText"/>
      </w:pPr>
      <w:r>
        <w:t xml:space="preserve">Chiến lược đo lường DAI: sử dụng DAI_z_full làm biến chính trong mẫu con BEE; DAI_z_tier1 cho so sánh xuyên schema và kiểm định độ vững.</w:t>
      </w:r>
    </w:p>
    <w:bookmarkEnd w:id="76"/>
    <w:bookmarkStart w:id="77" w:name="phân-loại-icrv-6-nhóm"/>
    <w:p>
      <w:pPr>
        <w:pStyle w:val="Heading5"/>
      </w:pPr>
      <w:r>
        <w:t xml:space="preserve">Phân loại ICRV 6 nhóm</w:t>
      </w:r>
    </w:p>
    <w:p>
      <w:pPr>
        <w:pStyle w:val="FirstParagraph"/>
      </w:pPr>
      <w:r>
        <w:t xml:space="preserve">Bảng 2.11. Phân loại 49 nền kinh tế theo ICRV, đặc điểm và tiêu chí.</w:t>
      </w:r>
    </w:p>
    <w:tbl>
      <w:tblPr>
        <w:tblStyle w:val="Table"/>
        <w:tblW w:type="pct" w:w="5000"/>
        <w:tblLook w:firstRow="1" w:lastRow="0" w:firstColumn="0" w:lastColumn="0" w:noHBand="0" w:noVBand="0" w:val="0020"/>
        <w:jc w:val="start"/>
      </w:tblPr>
      <w:tblGrid>
        <w:gridCol w:w="2292"/>
        <w:gridCol w:w="1250"/>
        <w:gridCol w:w="1875"/>
        <w:gridCol w:w="2501"/>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 Oman</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Chuyển đổi TB-thấp (</w:t>
            </w:r>
            <w:r>
              <w:rPr>
                <w:rStyle w:val="VerbatimChar"/>
              </w:rPr>
              <w:t xml:space="preserve">Lower_mid_transition</w:t>
            </w:r>
            <w:r>
              <w:t xml:space="preserve">)</w:t>
            </w:r>
          </w:p>
        </w:tc>
        <w:tc>
          <w:tcPr/>
          <w:p>
            <w:pPr>
              <w:pStyle w:val="Compact"/>
              <w:jc w:val="left"/>
            </w:pPr>
            <w:r>
              <w:t xml:space="preserve">GNI/người 1.500–5.000 PPP; đông dân, GVC đang tăng</w:t>
            </w:r>
          </w:p>
        </w:tc>
        <w:tc>
          <w:tcPr/>
          <w:p>
            <w:pPr>
              <w:pStyle w:val="Compact"/>
              <w:jc w:val="left"/>
            </w:pPr>
            <w:r>
              <w:t xml:space="preserve">Việt Nam, Ấn Độ, Indonesia, Philippines, Mông Cổ, Bangladesh, Pakistan</w:t>
            </w:r>
          </w:p>
        </w:tc>
      </w:tr>
      <w:tr>
        <w:tc>
          <w:tcPr/>
          <w:p>
            <w:pPr>
              <w:pStyle w:val="Compact"/>
              <w:jc w:val="left"/>
            </w:pPr>
            <w:r>
              <w:t xml:space="preserve">V</w:t>
            </w:r>
          </w:p>
        </w:tc>
        <w:tc>
          <w:tcPr/>
          <w:p>
            <w:pPr>
              <w:pStyle w:val="Compact"/>
              <w:jc w:val="left"/>
            </w:pPr>
            <w:r>
              <w:t xml:space="preserve">Đang nổi (</w:t>
            </w:r>
            <w:r>
              <w:rPr>
                <w:rStyle w:val="VerbatimChar"/>
              </w:rPr>
              <w:t xml:space="preserve">Emerging</w:t>
            </w:r>
            <w:r>
              <w:t xml:space="preserve">)</w:t>
            </w:r>
          </w:p>
        </w:tc>
        <w:tc>
          <w:tcPr/>
          <w:p>
            <w:pPr>
              <w:pStyle w:val="Compact"/>
              <w:jc w:val="left"/>
            </w:pPr>
            <w:r>
              <w:t xml:space="preserve">GNI/người &lt;4.000 PPP; khoảng trống thể chế đáng kể</w:t>
            </w:r>
          </w:p>
        </w:tc>
        <w:tc>
          <w:tcPr/>
          <w:p>
            <w:pPr>
              <w:pStyle w:val="Compact"/>
              <w:jc w:val="left"/>
            </w:pPr>
            <w:r>
              <w:t xml:space="preserve">Sri Lanka, Jordan, Lào, Campuchia, Myanmar, Nepal, Bhutan, Maldives, Uzbekistan, Tajikistan, Kyrgyzstan, Turkmenistan, Afghanistan, Azerbaijan, Iraq, Lebanon, Yemen (17 nước)</w:t>
            </w:r>
          </w:p>
        </w:tc>
      </w:tr>
      <w:tr>
        <w:tc>
          <w:tcPr/>
          <w:p>
            <w:pPr>
              <w:pStyle w:val="Compact"/>
              <w:jc w:val="left"/>
            </w:pPr>
            <w:r>
              <w:t xml:space="preserve">VI</w:t>
            </w:r>
          </w:p>
        </w:tc>
        <w:tc>
          <w:tcPr/>
          <w:p>
            <w:pPr>
              <w:pStyle w:val="Compact"/>
              <w:jc w:val="left"/>
            </w:pPr>
            <w:r>
              <w:t xml:space="preserve">SIDS (</w:t>
            </w:r>
            <w:r>
              <w:rPr>
                <w:rStyle w:val="VerbatimChar"/>
              </w:rPr>
              <w:t xml:space="preserve">SIDS_small</w:t>
            </w:r>
            <w:r>
              <w:t xml:space="preserve">)</w:t>
            </w:r>
          </w:p>
        </w:tc>
        <w:tc>
          <w:tcPr/>
          <w:p>
            <w:pPr>
              <w:pStyle w:val="Compact"/>
              <w:jc w:val="left"/>
            </w:pPr>
            <w:r>
              <w:t xml:space="preserve">Đảo nhỏ; phụ thuộc cao; quốc tế hóa tắt buộc</w:t>
            </w:r>
          </w:p>
        </w:tc>
        <w:tc>
          <w:tcPr/>
          <w:p>
            <w:pPr>
              <w:pStyle w:val="Compact"/>
              <w:jc w:val="left"/>
            </w:pPr>
            <w:r>
              <w:t xml:space="preserve">Fiji, Kiribati, Papua New Guinea, Samoa, Solomon Islands, Tonga, Vanuatu, Timor-Leste (8 nền; P8 mẫu chính 7 Pacific)</w:t>
            </w:r>
          </w:p>
        </w:tc>
      </w:tr>
    </w:tbl>
    <w:p>
      <w:pPr>
        <w:pStyle w:val="BodyText"/>
      </w:pPr>
      <w:r>
        <w:t xml:space="preserve">Tổng: 5 + 6 + 6 + 7 + 17 + 8 =</w:t>
      </w:r>
      <w:r>
        <w:t xml:space="preserve"> </w:t>
      </w:r>
      <w:r>
        <w:rPr>
          <w:bCs/>
          <w:b/>
        </w:rPr>
        <w:t xml:space="preserve">49 nền kinh tế châu Á–Thái Bình Dương</w:t>
      </w:r>
      <w:r>
        <w:t xml:space="preserve"> </w:t>
      </w:r>
      <w:r>
        <w:t xml:space="preserve">(căn theo nhãn</w:t>
      </w:r>
      <w:r>
        <w:t xml:space="preserve"> </w:t>
      </w:r>
      <w:r>
        <w:rPr>
          <w:rStyle w:val="VerbatimChar"/>
        </w:rPr>
        <w:t xml:space="preserve">icrv_label</w:t>
      </w:r>
      <w:r>
        <w:t xml:space="preserve"> </w:t>
      </w:r>
      <w:r>
        <w:t xml:space="preserve">dữ liệu P7).</w:t>
      </w:r>
      <w:r>
        <w:t xml:space="preserve"> </w:t>
      </w:r>
      <w:r>
        <w:rPr>
          <w:iCs/>
          <w:i/>
        </w:rPr>
        <w:t xml:space="preserve">(Pool phân loại đầy đủ 52 nền/96.415 DN gồm thêm Comoros, Turkey, Cyprus ngoài châu Á, loại khỏi khung 49. P8 mẫu chính 7 nền Pacific; robustness 9 nền gồm Comoros + Timor-Leste.)</w:t>
      </w:r>
    </w:p>
    <w:p>
      <w:pPr>
        <w:pStyle w:val="BodyText"/>
      </w:pPr>
      <w:r>
        <w:t xml:space="preserve">Phân loại dựa trên GNI/người PPP (trung bình 2020–2024, World Bank), Chỉ số Đổi mới Sáng tạo Toàn cầu (WIPO GII), và tỉ trọng doanh thu tài nguyên (IMF Fiscal Monitor). Tất cả 49 nền kinh tế không thay đổi nhóm ICRV trong giai đoạn 2009–2025 (ngưỡng kiểm tra: chuyển nhóm nếu GNI/người vượt ngưỡng ±15% trong ≥3 năm liên tiếp, không có trường hợp nào).</w:t>
      </w:r>
    </w:p>
    <w:bookmarkEnd w:id="77"/>
    <w:bookmarkStart w:id="78" w:name="chiến-lược-nhận-dạng-nhân-quả"/>
    <w:p>
      <w:pPr>
        <w:pStyle w:val="Heading5"/>
      </w:pPr>
      <w:r>
        <w:t xml:space="preserve">Chiến lược nhận dạng nhân quả</w:t>
      </w:r>
    </w:p>
    <w:p>
      <w:pPr>
        <w:pStyle w:val="FirstParagraph"/>
      </w:pPr>
      <w:r>
        <w:t xml:space="preserve">Tầng 1,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nếu hình dạng visual nhất quán với chữ U ngược → bằng chứng xác nhận không phụ thuộc giả định phân phối.</w:t>
      </w:r>
    </w:p>
    <w:p>
      <w:pPr>
        <w:pStyle w:val="BodyText"/>
      </w:pPr>
      <w:r>
        <w:t xml:space="preserve">Tầng 4, Nhân rộng mẫu con: Pool đủ lớn (91.982) cho phép chạy M0–M7 riêng cho từng nhóm ICRV (Nhóm I: 4.222; Nhóm IV: 50.926) để kiểm định tính không đồng nhất.</w:t>
      </w:r>
    </w:p>
    <w:bookmarkEnd w:id="78"/>
    <w:bookmarkEnd w:id="79"/>
    <w:bookmarkStart w:id="80" w:name="kế-hoạch-kiểm-định-độ-vững"/>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sáu nhóm.</w:t>
      </w:r>
    </w:p>
    <w:tbl>
      <w:tblPr>
        <w:tblStyle w:val="Table"/>
        <w:tblW w:type="pct" w:w="5000"/>
        <w:tblLook w:firstRow="1" w:lastRow="0" w:firstColumn="0" w:lastColumn="0" w:noHBand="0" w:noVBand="0" w:val="0020"/>
        <w:jc w:val="start"/>
      </w:tblPr>
      <w:tblGrid>
        <w:gridCol w:w="1188"/>
        <w:gridCol w:w="1584"/>
        <w:gridCol w:w="3366"/>
        <w:gridCol w:w="1782"/>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w:t>
      </w:r>
      <w:r>
        <w:t xml:space="preserve"> </w:t>
      </w:r>
      <w:r>
        <w:t xml:space="preserve">“</w:t>
      </w:r>
      <w:r>
        <w:t xml:space="preserve">xác nhận mạnh</w:t>
      </w:r>
      <w:r>
        <w:t xml:space="preserve">”</w:t>
      </w:r>
      <w:r>
        <w:t xml:space="preserve">. Nếu chỉ 2–3/6 nhóm nhất quán, kết quả là</w:t>
      </w:r>
      <w:r>
        <w:t xml:space="preserve"> </w:t>
      </w:r>
      <w:r>
        <w:t xml:space="preserve">“</w:t>
      </w:r>
      <w:r>
        <w:t xml:space="preserve">hỗ trợ có điều kiện</w:t>
      </w:r>
      <w:r>
        <w:t xml:space="preserve">”</w:t>
      </w:r>
      <w:r>
        <w:t xml:space="preserve">. Nếu &lt; 2/6 nhóm nhất quán, kết quả cần tái xem xét và không được tuyên bố giả thuyết được xác nhận.</w:t>
      </w:r>
    </w:p>
    <w:bookmarkEnd w:id="80"/>
    <w:bookmarkStart w:id="84" w:name="Xa7a3e024942ac139f282b38617464477c22cff4"/>
    <w:p>
      <w:pPr>
        <w:pStyle w:val="Heading4"/>
      </w:pPr>
      <w:r>
        <w:t xml:space="preserve">2.3.8 Thảo luận: đóng góp lý thuyết và thực tiễn</w:t>
      </w:r>
    </w:p>
    <w:bookmarkStart w:id="81"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49 nền kinh tế bao gồm cả quốc đảo nhỏ Thái Bình Dương. Khung tích hợp Uppsala + RBV + Institutional Theory + Upper Echelons + Foundational Digital Adoption Framework cho phép giải thích đồng thời tính không đồng nhất quan sát được, điều mà các mô hình đơn lý thuyết không làm được.</w:t>
      </w:r>
    </w:p>
    <w:p>
      <w:pPr>
        <w:pStyle w:val="BodyText"/>
      </w:pPr>
      <w:r>
        <w:t xml:space="preserve">Đóng góp 2: CDCM,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chưa có trong văn liệu.</w:t>
      </w:r>
    </w:p>
    <w:p>
      <w:pPr>
        <w:pStyle w:val="BodyText"/>
      </w:pPr>
      <w:r>
        <w:t xml:space="preserve">Đóng góp 3: Phân loại nhánh Advanced thành Nhóm I và Nhóm II. Phát hiện từ phân tích mô tả về tính không đồng nhất trong Advanced, Nhóm I (tiên tiến đổi mới: Singapore, Korea, HK, Đài Loan) vs. Nhóm II (tiên tiến tài nguyên: Saudi, Qatar, Kuwait, Bahrain),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SIDS không có chữ U ngược điển hình do quốc tế hóa bắt buộc (Briguglio, 1995). Tích hợp này mở rộng văn liệu I→P từ châu Á lục địa sang các quốc đảo nhỏ Thái Bình Dương.</w:t>
      </w:r>
    </w:p>
    <w:bookmarkEnd w:id="81"/>
    <w:bookmarkStart w:id="82"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cho phép kiểm tra xem TCI và DAI là bổ sung hay thay thế trong điều tiết I→P.</w:t>
      </w:r>
    </w:p>
    <w:p>
      <w:pPr>
        <w:pStyle w:val="BodyText"/>
      </w:pPr>
      <w:r>
        <w:t xml:space="preserve">Đóng góp 6: Pool 91.982 doanh nghiệp,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82"/>
    <w:bookmarkStart w:id="83"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tăng cường năng lực điều phối thay vì chỉ tăng tỉ lệ xuất khẩu.</w:t>
      </w:r>
    </w:p>
    <w:p>
      <w:pPr>
        <w:pStyle w:val="BodyText"/>
      </w:pPr>
      <w:r>
        <w:t xml:space="preserve">DAI phát huy mạnh khi FSTS cao và môi trường thể chế tốt: Nhóm I (Singapore) cho thấy DAI×FSTS² = +3,119,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những gì hiệu quả ở Singapore không nhất thiết hiệu quả ở Bangladesh.</w:t>
      </w:r>
    </w:p>
    <w:p>
      <w:pPr>
        <w:pStyle w:val="BodyText"/>
      </w:pPr>
      <w:r>
        <w:t xml:space="preserve">Tính không đồng nhất thời gian H6, chính sách năm 2025 không thể sao chép chính sách năm 2009; AI bùng nổ tạo ra cơ hội mới cho DAI trong giai đoạn 2018 trở đi.</w:t>
      </w:r>
    </w:p>
    <w:p>
      <w:pPr>
        <w:pStyle w:val="BodyText"/>
      </w:pPr>
      <w:r>
        <w:t xml:space="preserve">SIDS gánh nặng tắt buộc, các quốc đảo nhỏ Thái Bình Dương cần khung chính sách khác hoàn toàn, không áp dụng logic chữ U ngược chuẩn.</w:t>
      </w:r>
    </w:p>
    <w:p>
      <w:r>
        <w:pict>
          <v:rect style="width:0;height:1.5pt" o:hralign="center" o:hrstd="t" o:hr="t"/>
        </w:pict>
      </w:r>
    </w:p>
    <w:bookmarkEnd w:id="83"/>
    <w:bookmarkEnd w:id="84"/>
    <w:bookmarkEnd w:id="85"/>
    <w:bookmarkStart w:id="89" w:name="kết-luận-và-đề-xuất"/>
    <w:p>
      <w:pPr>
        <w:pStyle w:val="Heading3"/>
      </w:pPr>
      <w:r>
        <w:t xml:space="preserve">2.4 Kết luận và đề xuất</w:t>
      </w:r>
    </w:p>
    <w:bookmarkStart w:id="86" w:name="kết-luận"/>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Uppsala, RBV, Institutional Theory, Upper Echelons, Foundational Digital Adoption Framework, vào tám mô hình thực nghiệm M0–M7 có thể kiểm định trên pool 91.982 doanh nghiệp WBES xuyên 49 nền kinh tế và 108 cặp quốc gia-năm. Hệ giả thuyết H1–H6 được phát triển có neo đậu thực nghiệm từ ba bản thảo đồng hành (P3 Việt Nam, P4 Singapore, P5 Trung Quốc),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CDCM,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6"/>
    <w:bookmarkStart w:id="87" w:name="hạn-chế-nghiên-cứu"/>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tích hợp ERP, triển khai AI, quản trị dữ liệu xuyên biên giới,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panel meta-analysis; Borenstein et al. (2021), Bayesian meta-regression với thông tin tiền nghiệm. Về mở rộng bậc số hóa: Verhoef et al. (2021), phân cấp Tier 1–4. Về mở rộng quốc tế hóa đa chiều: Contractor et al. (2003); Sullivan (1994) về DOI composite.</w:t>
      </w:r>
    </w:p>
    <w:p>
      <w:r>
        <w:pict>
          <v:rect style="width:0;height:1.5pt" o:hralign="center" o:hrstd="t" o:hr="t"/>
        </w:pict>
      </w:r>
    </w:p>
    <w:bookmarkEnd w:id="87"/>
    <w:bookmarkStart w:id="88" w:name="hướng-nghiên-cứu-tiếp-theo"/>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k=238</w:t>
      </w:r>
      <w:r>
        <w:t xml:space="preserve"> </w:t>
      </w:r>
      <w:r>
        <w:t xml:space="preserve">(K=288 effect sizes, 49 nền kinh tế) với hệ thống tìm kiếm PRISMA 2020 trên Web of Science + Scopus (1977–2026). Ba biến điều tiết mới: (i) cDAI, mức độ số hóa cấp quốc gia; (ii) ICRV 6 nhóm; (iii) DPL phase. Kết quả MARA xác nhận: pooled</w:t>
      </w:r>
      <w:r>
        <w:t xml:space="preserve"> </w:t>
      </w:r>
      <w:r>
        <w:rPr>
          <w:iCs/>
          <w:i/>
        </w:rPr>
        <w:t xml:space="preserve">r</w:t>
      </w:r>
      <w:r>
        <w:t xml:space="preserve">=0,074 (CI [0,060; 0,088]), I²=62,4%; ICRV Q_M=17,35 (p=.002), H1 điều tiết thể chế được hỗ trợ; cDAI và DPL không có ý nghĩa (H2, H3 không được hỗ trợ). Phát hiện chính: publication bias xác nhận qua Begg–Mazumdar τ=−0,134 (p=.0007), trim-and-fill k=58 imputed,</w:t>
      </w:r>
      <w:r>
        <w:t xml:space="preserve"> </w:t>
      </w:r>
      <w:r>
        <w:rPr>
          <w:iCs/>
          <w:i/>
        </w:rPr>
        <w:t xml:space="preserve">r</w:t>
      </w:r>
      <w:r>
        <w:t xml:space="preserve">_adj=0,035, pooled effect thực tế thấp hơn khoảng 50% so với ước lượng thô. Đóng góp của P6 trong khuôn khổ CD2: xác nhận gradient ICRV tổng thể (Q_M có ý nghĩa) nhưng không đủ k ở mỗi nhóm để xác nhận đường gradient đơn điệu E1a/E1b.</w:t>
      </w:r>
    </w:p>
    <w:p>
      <w:pPr>
        <w:pStyle w:val="BodyText"/>
      </w:pPr>
      <w:r>
        <w:rPr>
          <w:bCs/>
          <w:b/>
        </w:rPr>
        <w:t xml:space="preserve">Hướng 2, P7: Kiểm định H1–H6 toàn pool 49 nền kinh tế (JIBS, under revision):</w:t>
      </w:r>
      <w:r>
        <w:t xml:space="preserve"> </w:t>
      </w:r>
      <w:r>
        <w:t xml:space="preserve">P7 đã hoàn thành,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P8: SIDS Thái Bình Dương, gánh nặng tắt buộc (World Development, under revision):</w:t>
      </w:r>
      <w:r>
        <w:t xml:space="preserve"> </w:t>
      </w:r>
      <w:r>
        <w:t xml:space="preserve">P8 đã hoàn thành,</w:t>
      </w:r>
      <w:r>
        <w:t xml:space="preserve"> </w:t>
      </w:r>
      <w:r>
        <w:rPr>
          <w:bCs/>
          <w:b/>
        </w:rPr>
        <w:t xml:space="preserve">mẫu chính 7 nền Pacific SIDS (N=209 complete-case; pool 1.371), β(FSTS_c)=−1,339</w:t>
      </w:r>
      <w:r>
        <w:t xml:space="preserve"> </w:t>
      </w:r>
      <w:r>
        <w:t xml:space="preserve">(p&lt;.001); kiểm định độ vững mở rộng 9 nền (thêm Comoros + Timor-Leste, N≈1.469, β≈−0,4),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và điều kiện chuyển đổi là gì (ngưỡng thể chế, quy mô doanh nghiệp, hay sóng công nghệ)?</w:t>
      </w:r>
    </w:p>
    <w:p>
      <w:pPr>
        <w:pStyle w:val="BodyText"/>
      </w:pPr>
      <w:r>
        <w:rPr>
          <w:bCs/>
          <w:b/>
        </w:rPr>
        <w:t xml:space="preserve">Hướng 5,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8"/>
    <w:bookmarkEnd w:id="89"/>
    <w:bookmarkEnd w:id="90"/>
    <w:bookmarkStart w:id="91"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 https://doi.org/10.5465/amj.2008.33665310</w:t>
      </w:r>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 https://doi.org/10.1016/j.jwb.2010.10.019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Trung Quốc SMEs, đã công bố]</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https://doi.org/10.1596/978-1-4648-1334-4</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 https://doi.org/10.1002/gsj.1433</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 https://doi.org/10.5465/amj.2009.0703</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https://doi.org/10.1177/0149206316648proper</w:t>
      </w:r>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 https://doi.org/10.1016/j.jwb.2010.05.003</w:t>
      </w:r>
    </w:p>
    <w:p>
      <w:pPr>
        <w:pStyle w:val="BodyText"/>
      </w:pPr>
      <w:r>
        <w:t xml:space="preserve">North, D. C. (1990).</w:t>
      </w:r>
      <w:r>
        <w:t xml:space="preserve"> </w:t>
      </w:r>
      <w:r>
        <w:rPr>
          <w:iCs/>
          <w:i/>
        </w:rPr>
        <w:t xml:space="preserve">Institutions, institutional change and economic performance</w:t>
      </w:r>
      <w:r>
        <w:t xml:space="preserve">. Cambridge University Press. https://doi.org/10.1017/CBO9780511808678</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 https://doi.org/10.1007/s11575-022-00462-x</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 https://doi.org/10.1016/j.intman.2013.01.003</w:t>
      </w:r>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91"/>
    <w:bookmarkStart w:id="96" w:name="phụ-lục"/>
    <w:p>
      <w:pPr>
        <w:pStyle w:val="Heading2"/>
      </w:pPr>
      <w:r>
        <w:t xml:space="preserve">PHỤ LỤC</w:t>
      </w:r>
    </w:p>
    <w:bookmarkStart w:id="92" w:name="X01944e567194a9fadb7bca1b5869d9662127c94"/>
    <w:p>
      <w:pPr>
        <w:pStyle w:val="Heading3"/>
      </w:pPr>
      <w:r>
        <w:t xml:space="preserve">Phụ lục A: Danh sách 49 nền kinh tế theo nhóm ICRV</w:t>
      </w:r>
    </w:p>
    <w:p>
      <w:pPr>
        <w:pStyle w:val="FirstParagraph"/>
      </w:pPr>
      <w:r>
        <w:t xml:space="preserve">ICRV Nhóm I, Tiên tiến đổi mới sáng tạo dẫn dắt (5 nền kinh tế):</w:t>
      </w:r>
      <w:r>
        <w:t xml:space="preserve"> </w:t>
      </w:r>
      <w:r>
        <w:t xml:space="preserve">Singapore, Hong Kong SAR, Hàn Quốc, Đài Loan, Israel.</w:t>
      </w:r>
    </w:p>
    <w:p>
      <w:pPr>
        <w:pStyle w:val="BodyText"/>
      </w:pPr>
      <w:r>
        <w:t xml:space="preserve">ICRV Nhóm II, Tiên tiến tài nguyên dẫn dắt (5 nền kinh tế):</w:t>
      </w:r>
      <w:r>
        <w:t xml:space="preserve"> </w:t>
      </w:r>
      <w:r>
        <w:t xml:space="preserve">Saudi Arabia, Qatar, Kuwait, Bahrain, Brunei.</w:t>
      </w:r>
    </w:p>
    <w:p>
      <w:pPr>
        <w:pStyle w:val="BodyText"/>
      </w:pPr>
      <w:r>
        <w:t xml:space="preserve">ICRV Nhóm III, Trung bình cao (6 nền kinh tế):</w:t>
      </w:r>
      <w:r>
        <w:t xml:space="preserve"> </w:t>
      </w:r>
      <w:r>
        <w:t xml:space="preserve">Trung Quốc, Malaysia, Thái Lan, Kazakhstan, Armenia, Georgia.</w:t>
      </w:r>
    </w:p>
    <w:p>
      <w:pPr>
        <w:pStyle w:val="BodyText"/>
      </w:pPr>
      <w:r>
        <w:t xml:space="preserve">ICRV Nhóm IV, Đang nổi (7 nền kinh tế):</w:t>
      </w:r>
      <w:r>
        <w:t xml:space="preserve"> </w:t>
      </w:r>
      <w:r>
        <w:t xml:space="preserve">Việt Nam, Indonesia, Philippines, Ấn Độ, Sri Lanka, Jordan, Mông Cổ.</w:t>
      </w:r>
    </w:p>
    <w:p>
      <w:pPr>
        <w:pStyle w:val="BodyText"/>
      </w:pPr>
      <w:r>
        <w:t xml:space="preserve">ICRV Nhóm V, Đang nổi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49 nền kinh tế.</w:t>
      </w:r>
    </w:p>
    <w:bookmarkEnd w:id="92"/>
    <w:bookmarkStart w:id="93" w:name="phụ-lục-b-tóm-tắt-ba-bản-thảo-đồng-hành"/>
    <w:p>
      <w:pPr>
        <w:pStyle w:val="Heading3"/>
      </w:pPr>
      <w:r>
        <w:t xml:space="preserve">Phụ lục B: Tóm tắt ba bản thảo đồng hành</w:t>
      </w:r>
    </w:p>
    <w:p>
      <w:pPr>
        <w:pStyle w:val="FirstParagraph"/>
      </w:pPr>
      <w:r>
        <w:t xml:space="preserve">P3,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Singapore (MIR, under review): Mar, K. S., Đỗ, T. H., &amp; Phan, A. T. (2026). Phân tích 623 doanh nghiệp WBES 2023. Kết quả chính: đường cong I→P chủ yếu dương; điểm uốn hàm ý ~88,6% (vùng thưa dữ liệu; Lind–Mehlum p = 0,303); DAI×FSTS² = +3,119 (p = 0,005), DAI là nguồn lực mở rộng tình huống; TCI β = 0,153.</w:t>
      </w:r>
    </w:p>
    <w:p>
      <w:pPr>
        <w:pStyle w:val="BodyText"/>
      </w:pPr>
      <w:r>
        <w:t xml:space="preserve">P5, Trung Quốc (IJOEM, under review): Đỗ, T. H., &amp; Phan, A. T. (2026). Phân tích 4.559 doanh nghiệp WBES hai sóng 2012/2024. Kết quả chính: chữ U ngược bền vững cấu trúc, điểm uốn 49,4% (2012), 47,2% (2024), Paternoster FSTS² p = 0,545 (không có sự khác biệt đáng kể); TCI tăng cường theo thời gian (+0,260 → +0,426, Paternoster p = 0,011).</w:t>
      </w:r>
    </w:p>
    <w:bookmarkEnd w:id="93"/>
    <w:bookmarkStart w:id="94" w:name="phụ-lục-c-quy-ước-báo-cáo-thống-kê"/>
    <w:p>
      <w:pPr>
        <w:pStyle w:val="Heading3"/>
      </w:pPr>
      <w:r>
        <w:t xml:space="preserve">Phụ lục C: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94"/>
    <w:bookmarkStart w:id="95" w:name="Xa84ffce5c253a184851e54c82ab1310212e4bc3"/>
    <w:p>
      <w:pPr>
        <w:pStyle w:val="Heading3"/>
      </w:pPr>
      <w:r>
        <w:t xml:space="preserve">Phụ lục D: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95"/>
    <w:bookmarkEnd w:id="96"/>
    <w:bookmarkEnd w:id="9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2026-06-12T10:19:05Z</dcterms:created>
  <dcterms:modified xsi:type="dcterms:W3CDTF">2026-06-12T10:19:05Z</dcterms:modified>
</cp:coreProperties>
</file>

<file path=docProps/custom.xml><?xml version="1.0" encoding="utf-8"?>
<Properties xmlns="http://schemas.openxmlformats.org/officeDocument/2006/custom-properties" xmlns:vt="http://schemas.openxmlformats.org/officeDocument/2006/docPropsVTypes"/>
</file>