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49 nền kinh tế châu Á và Thái Bình Dương (mẫu phân tích chính N = 91.982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nhưng điểm uốn (turning point) không cố định mà giảm dần theo chất lượng thể chế, từ khoảng 55% cường độ xuất khẩu ở các nền kinh tế thể chế yếu xuống khoảng 28% ở các nền kinh tế thể chế mạnh;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49 Asian and Pacific economies (main analytic sample N = 91,982 firms), complemented by country-specific analyses (Vietnam, Singapore, China, India) and a boundary case of seven Pacific Small Island Developing States (SIDS).</w:t>
      </w:r>
    </w:p>
    <w:p>
      <w:pPr>
        <w:pStyle w:val="BodyText"/>
      </w:pPr>
      <w:r>
        <w:t xml:space="preserve">Key findings: (1) the I–P relationship is inverted-U shaped, but the turning point is not fixed, it declines with institutional quality, from roughly 55% export intensity in weak-institution economies to about 28% in strong-institution economies;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 Lời cảm ơn · Tóm tắt · Abstract · Danh mục từ viết tắt · Danh mục bảng · Danh mục hình ·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Điểm uốn theo đợt khảo sát, Ấn Độ (Chương 4, §4.8)</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§4.9)</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2026-06-12T10:19:01Z</dcterms:created>
  <dcterms:modified xsi:type="dcterms:W3CDTF">2026-06-12T10:19:01Z</dcterms:modified>
</cp:coreProperties>
</file>

<file path=docProps/custom.xml><?xml version="1.0" encoding="utf-8"?>
<Properties xmlns="http://schemas.openxmlformats.org/officeDocument/2006/custom-properties" xmlns:vt="http://schemas.openxmlformats.org/officeDocument/2006/docPropsVTypes"/>
</file>