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1-giới-thiệu"/>
    <w:p>
      <w:pPr>
        <w:pStyle w:val="Heading1"/>
      </w:pPr>
      <w:r>
        <w:t xml:space="preserve">CHƯƠNG 1: GIỚI THIỆU</w:t>
      </w:r>
    </w:p>
    <w:bookmarkEnd w:id="20"/>
    <w:p>
      <w:r>
        <w:pict>
          <v:rect style="width:0;height:1.5pt" o:hralign="center" o:hrstd="t" o:hr="t"/>
        </w:pict>
      </w:r>
    </w:p>
    <w:bookmarkStart w:id="2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thế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internationalization–firm performance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digitization đến digitalization và digital transformation. Tuy nhiên, phần lớn bằng chứng thực nghiệm hiện có về vai trò của năng lực số trong quan hệ I–P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Institutional Theory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institutional voids</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Upper Echelons Theory (Hambrick &amp; Mason, 1984) khẳng định rằng quyết định chiến lược phản ánh đặc điểm nhận thức, kinh nghiệm và giá trị của nhà quản trị. Kinh nghiệm quốc tế giúp nhà quản trị nhận diện cơ hội và giảm chi phí của liability of foreignness,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p>
      <w:r>
        <w:pict>
          <v:rect style="width:0;height:1.5pt" o:hralign="center" o:hrstd="t" o:hr="t"/>
        </w:pict>
      </w:r>
    </w:p>
    <w:bookmarkEnd w:id="21"/>
    <w:bookmarkStart w:id="2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heterogeneity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heterogeneity cao đó. Các nghiên cứu hiện tại thường chọn một hoặc hai lý thuyết làm nền, dẫn đến mô hình không đủ đa tầng để nắm bắt sự phức tạp thực tế. Uppsala model giải thích chi phí học hỏi nhưng không đủ để xử lý vai trò của thể chế; RBV giải thích sự khác biệt năng lực nhưng bỏ qua macro-context; Institutional Theory giải thích bối cảnh vĩ mô nhưng không tích hợp đặc điểm cá nhân nhà quản trị. Không một lý thuyết nào đứng riêng có thể giải thích đầy đủ heterogeneity đó. Khoảng trống thứ hai là sự đồng nhất không hợp lý giữa hai construct số khác nhau về bản chất: technological capability, chiều sâu năng lực công nghệ nhập vào tổ chức, và digital adoption, mức độ áp dụng công cụ số bề mặt trong hoạt động kinh doanh. Nhiều nghiên cứu trước gộp hai construct này thành một chỉ số composite duy nhất, điều này làm giảm độ chính xác của kết luận và có thể che khuất các cơ chế tác động khác nhau (Bharadwaj et al., 2013; Coltman et al., 2008; Verhoef et al., 2021). Khoảng trống thứ ba là thiếu bằng chứng cross-country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mixed synthesis-empirical kết hợp meta-analysis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heterogeneity cao trong quan hệ I–P.</w:t>
      </w:r>
    </w:p>
    <w:p>
      <w:r>
        <w:pict>
          <v:rect style="width:0;height:1.5pt" o:hralign="center" o:hrstd="t" o:hr="t"/>
        </w:pict>
      </w:r>
    </w:p>
    <w:bookmarkEnd w:id="22"/>
    <w:bookmarkStart w:id="2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(moderators) chính giải thích heterogeneity trong literature.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I–P vận hành khác nhau theo bối cảnh quốc gia. Mục tiêu cụ thể thứ ba là mở rộng phân tích sang 49 nền kinh tế châu Á và Thái Bình Dương (bao gồm 7 nền kinh tế Pacific SIDS) để kiểm định khả năng khái quát hóa của các phát hiện trên phạm vi rộng, kế thừa và mở rộng từ pool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23"/>
    <w:bookmarkStart w:id="2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literature 1982–2026 là gì, mức độ dị biệt ở mức nào, và những moderators nào giải thích heterogeneity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là: Trên phạm vi đa quốc gia châu Á bao gồm 49 nền kinh tế châu Á và Thái Bình Dương (bao gồm 7 nền kinh tế Pacific SIDS), vai trò điều tiết của chỉ số chấp nhận số (DAI) và technological capability index (TCI) có khái quát hóa được không, và hai construct này có thực sự vận hành theo các cơ chế khác nhau không? Câu hỏi nghiên cứu thứ tư (RQ4) là: Vai trò của thể chế, đo bằng sub-regime ICRV, cùng với sự phân biệt giữa TCI và DAI, và đặc điểm nhà quản trị trong việc điều tiết mối quan hệ I–P là gì, và sự tương tác ba chiều giữa ba tầng đó có ý nghĩa như thế nào?</w:t>
      </w:r>
    </w:p>
    <w:p>
      <w:r>
        <w:pict>
          <v:rect style="width:0;height:1.5pt" o:hralign="center" o:hrstd="t" o:hr="t"/>
        </w:pict>
      </w:r>
    </w:p>
    <w:bookmarkEnd w:id="24"/>
    <w:bookmarkStart w:id="28" w:name="đối-tượng-và-phạm-vi-nghiên-cứu"/>
    <w:p>
      <w:pPr>
        <w:pStyle w:val="Heading2"/>
      </w:pPr>
      <w:r>
        <w:t xml:space="preserve">1.5 Đối tượng và phạm vi nghiên cứu</w:t>
      </w:r>
    </w:p>
    <w:bookmarkStart w:id="2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25"/>
    <w:bookmarkStart w:id="26"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49 nền kinh tế châu Á và Thái Bình Dương</w:t>
      </w:r>
      <w:r>
        <w:t xml:space="preserve"> </w:t>
      </w:r>
      <w:r>
        <w:t xml:space="preserve">có dữ liệu trong Khảo sát Doanh nghiệp của Ngân hàng Thế giới (World Bank Enterprise Surveys, WBES), được phân loại và tổ chức theo 6 sub-regime trong khung ICRV. Sáu sub-regime bao gồm: (i) Advanced Innovation-Driven, đại diện là Singapore, Hàn Quốc và Đài Loan; (ii) Advanced Resource-Driven, đại diện là các nền kinh tế GCC; (iii) Upper-middle, đại diện là Trung Quốc và Malaysia; (iv) Lower-middle transition, bao gồm Việt Nam và các nền kinh tế ASEAN đang phát triển; (v) Emerging,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I–P. Nhật Bản không nằm trong phạm vi thực nghiệm của luận án do cấu trúc dữ liệu WBES không bao phủ Nhật Bản đầy đủ.</w:t>
      </w:r>
    </w:p>
    <w:bookmarkEnd w:id="26"/>
    <w:bookmarkStart w:id="27" w:name="phạm-vi-thời-gian"/>
    <w:p>
      <w:pPr>
        <w:pStyle w:val="Heading3"/>
      </w:pPr>
      <w:r>
        <w:t xml:space="preserve">1.5.3 Phạm vi thời gian</w:t>
      </w:r>
    </w:p>
    <w:p>
      <w:pPr>
        <w:pStyle w:val="FirstParagraph"/>
      </w:pPr>
      <w:r>
        <w:t xml:space="preserve">Phạm vi thời gian của nghiên cứu có hai mức. Đối với phase meta-analysis, luận án tổng hợp literature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2003–2025, bao gồm 91.982 doanh nghiệp với 102 cặp quốc gia-năm trải qua 14 mốc khảo sát.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27"/>
    <w:bookmarkEnd w:id="28"/>
    <w:bookmarkStart w:id="29"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mixed synthesis-empirical, sự kết hợp giữa meta-analysis và phân tích thực nghiệm đa quốc gia,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moderator quan trọng trong literature,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moderation, cùng với fixed effects theo quốc gia và năm. Kiểm định Lind–Mehlum U-test được áp dụng để xác nhận dạng inverted-U và xác định điểm turning point trong quan hệ phi tuyến (Haans et al., 2016; Lind &amp; Mehlum, 2010).</w:t>
      </w:r>
    </w:p>
    <w:p>
      <w:r>
        <w:pict>
          <v:rect style="width:0;height:1.5pt" o:hralign="center" o:hrstd="t" o:hr="t"/>
        </w:pict>
      </w:r>
    </w:p>
    <w:bookmarkEnd w:id="29"/>
    <w:bookmarkStart w:id="30" w:name="giả-thuyết-khoa-học-tóm-tắt"/>
    <w:p>
      <w:pPr>
        <w:pStyle w:val="Heading2"/>
      </w:pPr>
      <w:r>
        <w:t xml:space="preserve">1.7 Giả thuyết khoa học (tóm tắt)</w:t>
      </w:r>
    </w:p>
    <w:p>
      <w:pPr>
        <w:pStyle w:val="FirstParagraph"/>
      </w:pPr>
      <w:r>
        <w:t xml:space="preserve">Dựa trên khung lý thuyết tích hợp đa tầng bao gồm Uppsala model, RBV, Institutional Theory, Upper Echelons Theory và digital capability lens, luận án đề xuất hệ giả thuyết khoa học với sáu giả thuyết trọng tâm. Quan hệ nền giữa quốc tế hóa và hiệu quả hoạt động doanh nghiệp mang dạng phi tuyến, cụ thể là dạng inverted-U, với chi phí thâm nhập và thích nghi cao ở giai đoạn đầu và lợi ích quy mô, học hỏi và đa dạng hóa thị trường ở giai đoạn sau, đến khi chi phí điều phối vượt quá lợi ích sẽ dẫn đến sự suy giảm hiệu quả. Technological capability index (TCI) điều tiết dương quan hệ I–P bằng cách mở rộng biên thích nghi và tăng cường khả năng khai thác lợi thế cạnh tranh ở thị trường quốc tế. Chỉ số chấp nhận số (DAI), được hiểu là proxy foundational digital adoption,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sub-regime ICRV, điều tiết cả dạng và độ lớn của quan hệ I–P, tạo ra gradient từ tác động dương lớn ở Advanced Innovation-Driven đến tác động âm ở Emerging và SIDS extreme. Đặc điểm nhà quản trị cấp cao, cụ thể là kinh nghiệm quốc tế và đa dạng giới tính, điều tiết dương quan hệ I–P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quan hệ I–P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30"/>
    <w:bookmarkStart w:id="34" w:name="ý-nghĩa-khoa-học-và-thực-tiễn"/>
    <w:p>
      <w:pPr>
        <w:pStyle w:val="Heading2"/>
      </w:pPr>
      <w:r>
        <w:t xml:space="preserve">1.8 Ý nghĩa khoa học và thực tiễn</w:t>
      </w:r>
    </w:p>
    <w:bookmarkStart w:id="31" w:name="đóng-góp-lý-thuyết"/>
    <w:p>
      <w:pPr>
        <w:pStyle w:val="Heading3"/>
      </w:pPr>
      <w:r>
        <w:t xml:space="preserve">1.8.1 Đóng góp lý thuyết</w:t>
      </w:r>
    </w:p>
    <w:p>
      <w:pPr>
        <w:pStyle w:val="FirstParagraph"/>
      </w:pPr>
      <w:r>
        <w:t xml:space="preserve">Về mặt lý thuyết, luận án đóng góp vào literature kinh doanh quốc tế theo ba hướng chính. Hướng thứ nhất là tích hợp bốn lý thuyết kinh điển, Uppsala model, Resource-Based View, Institutional Theory và Upper Echelons Theory,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heterogeneity khác nhau trong quan hệ I–P. Hướng thứ hai là phân tách rõ ràng technological capability (TCI) và chỉ số chấp nhận số (DAI) như hai construct lý thuyết độc lập, dựa trên các nền tảng khái niệm khác nhau từ Bharadwaj et al. (2013), Verhoef et al. (2021), và Coltman et al. (2008). Sự phân tách này bổ sung vào thiếu hụt khái niệm quan trọng trong literature về số hóa và quốc tế hóa. Hướng thứ ba là tái định vị Uppsala model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construct lý thuyết mới chưa được định danh trong literature kinh doanh quốc tế, như điều kiện biên cực đoan của mô hình chữ U ngược khi cả ba tầng của khung CDCM (thể chế, năng lực, quản trị) đồng thời ở mức tối thiểu. Bằng chứng thực nghiệm từ bảy nền kinh tế Pacific SIDS xác nhận quan hệ âm đơn điệu không có điểm uốn, mở ra hướng nghiên cứu mới về điều kiện biên của lý thuyết quốc tế hóa.</w:t>
      </w:r>
    </w:p>
    <w:bookmarkEnd w:id="31"/>
    <w:bookmarkStart w:id="32"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mixed synthesis-empirical kết hợp meta-analysis và phân tích đa quốc gia, tạo ra khả năng đối chiếu giữa bằng chứng tổng hợp từ literature toàn cầu và bằng chứng thực nghiệm từ bối cảnh châu Á. Hướng thứ hai là phát triển và áp dụng khung phân loại thể chế ICRV cho 49 nền kinh tế, cung cấp một công cụ phân loại mới có ứng dụng tiềm năng trong nhiều nghiên cứu tương lai về moderating effect của thể chế trong literature kinh doanh quốc tế.</w:t>
      </w:r>
    </w:p>
    <w:bookmarkEnd w:id="32"/>
    <w:bookmarkStart w:id="33"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digital adoption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digital shield effect</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49 nền kinh tế châu Á và Thái Bình Dương.</w:t>
      </w:r>
    </w:p>
    <w:p>
      <w:r>
        <w:pict>
          <v:rect style="width:0;height:1.5pt" o:hralign="center" o:hrstd="t" o:hr="t"/>
        </w:pict>
      </w:r>
    </w:p>
    <w:bookmarkEnd w:id="33"/>
    <w:bookmarkEnd w:id="34"/>
    <w:bookmarkStart w:id="35"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construct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construct có bản chất khác nhau. Điểm mới thứ ba là phát triển và áp dụng khung phân loại thể chế ICRV với 6 sub-regime cho 49 nền kinh tế, bao gồm cả 7 nền kinh tế Pacific SIDS liền kề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91.982 doanh nghiệp từ 49 nền kinh tế châu Á và Thái Bình Dương, mở rộng đáng kể từ pool 17 nước (nghiên cứu thành phần P1) là nền tảng hiện có lớn nhất trước khi luận án hoàn thành. Điểm mới thứ năm là kiểm định temporal stability của turning point trong quan hệ I–P tại Trung Quốc, cho phép đánh giá liệu cấu trúc phi tuyến đó có ổn định qua hơn một thập kỷ chuyển đổi số hay không. Kết quả phân tích của luận án cho thấy turning point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FIP)</w:t>
      </w:r>
      <w:r>
        <w:t xml:space="preserve"> </w:t>
      </w:r>
      <w:r>
        <w:t xml:space="preserve">tại bảy nền kinh tế Pacific SIDS, lần đầu tiên trong literature kinh doanh quốc tế, một trường hợp quan hệ I–P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bookmarkEnd w:id="35"/>
    <w:bookmarkStart w:id="36"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meta-analysis cập nhật 1982–2026, phân tích theo bối cảnh quốc gia cụ thể, và phân tích đa quốc gia capstone trên pool đầy đủ 49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bảy nghiên cứu thành phần (P3–P9):</w:t>
      </w:r>
      <w:r>
        <w:t xml:space="preserve"> </w:t>
      </w:r>
      <w:r>
        <w:t xml:space="preserve">Luận án tích hợp bảy nghiên cứu thành phần được công bố hoặc đang trong quá trình xem xét tại các tạp chí ISI/Scopus.</w:t>
      </w:r>
      <w:r>
        <w:t xml:space="preserve"> </w:t>
      </w:r>
      <w:r>
        <w:rPr>
          <w:bCs/>
          <w:b/>
        </w:rPr>
        <w:t xml:space="preserve">P3</w:t>
      </w:r>
      <w:r>
        <w:t xml:space="preserve"> </w:t>
      </w:r>
      <w:r>
        <w:t xml:space="preserve">(Việt Nam, JABS, under review): kiểm định inverted-U tại Nhóm IV ICRV, turning point = 39,3–46,2% FSTS, TCI là level-shifter có ý nghĩa.</w:t>
      </w:r>
      <w:r>
        <w:t xml:space="preserve"> </w:t>
      </w:r>
      <w:r>
        <w:rPr>
          <w:bCs/>
          <w:b/>
        </w:rPr>
        <w:t xml:space="preserve">P4</w:t>
      </w:r>
      <w:r>
        <w:t xml:space="preserve"> </w:t>
      </w:r>
      <w:r>
        <w:t xml:space="preserve">(Singapore, MIR, under review): kiểm định tại Nhóm I ICRV, turning point ≈ 88,6% (khoảng tin cậy rất rộng và vượt ngưỡng khả thi của FSTS, nên không định vị tin cậy, xem §4.3), DAI Tier-1+2 khuếch đại đường cong I–P.</w:t>
      </w:r>
      <w:r>
        <w:t xml:space="preserve"> </w:t>
      </w:r>
      <w:r>
        <w:rPr>
          <w:bCs/>
          <w:b/>
        </w:rPr>
        <w:t xml:space="preserve">P5</w:t>
      </w:r>
      <w:r>
        <w:t xml:space="preserve"> </w:t>
      </w:r>
      <w:r>
        <w:t xml:space="preserve">(Trung Quốc, IJOEM, under review): kiểm định temporal stability, turning point ổn định qua 2012–2024 (≈ 48,78%, Paternoster z = 0,82, p = ,412).</w:t>
      </w:r>
      <w:r>
        <w:t xml:space="preserve"> </w:t>
      </w:r>
      <w:r>
        <w:rPr>
          <w:bCs/>
          <w:b/>
        </w:rPr>
        <w:t xml:space="preserve">P6</w:t>
      </w:r>
      <w:r>
        <w:t xml:space="preserve"> </w:t>
      </w:r>
      <w:r>
        <w:t xml:space="preserve">(meta-analysis ba tầng, IBR, under review): k = 238 nghiên cứu, r̄ = 0,074, I² = 62,4%, gradient ICRV Q_M = 17,35 (df = 4, p = ,002).</w:t>
      </w:r>
      <w:r>
        <w:t xml:space="preserve"> </w:t>
      </w:r>
      <w:r>
        <w:rPr>
          <w:bCs/>
          <w:b/>
        </w:rPr>
        <w:t xml:space="preserve">P7</w:t>
      </w:r>
      <w:r>
        <w:t xml:space="preserve"> </w:t>
      </w:r>
      <w:r>
        <w:t xml:space="preserve">(49 nền kinh tế, JIBS, under revision): N = 84.910 quan sát, turning point trung bình ~36%, DAI×ICRV (p = ,012), kiểm định tích hợp CDCM đầu tiên ở quy mô liên quốc gia lớn.</w:t>
      </w:r>
      <w:r>
        <w:t xml:space="preserve"> </w:t>
      </w:r>
      <w:r>
        <w:rPr>
          <w:bCs/>
          <w:b/>
        </w:rPr>
        <w:t xml:space="preserve">P8</w:t>
      </w:r>
      <w:r>
        <w:t xml:space="preserve"> </w:t>
      </w:r>
      <w:r>
        <w:t xml:space="preserve">(SIDS, World Development, under revision): boundary condition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xác nhận H1b tại bảy nền kinh tế Pacific SIDS.</w:t>
      </w:r>
      <w:r>
        <w:t xml:space="preserve"> </w:t>
      </w:r>
      <w:r>
        <w:rPr>
          <w:bCs/>
          <w:b/>
        </w:rPr>
        <w:t xml:space="preserve">P9</w:t>
      </w:r>
      <w:r>
        <w:t xml:space="preserve"> </w:t>
      </w:r>
      <w:r>
        <w:t xml:space="preserve">(Ấn Độ, MIR/IJOEM, đang bình duyệt): độ bền ngưỡng I–P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 40,7% →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Tier-2/UPI âm. Kết quả P3–P9 được trình bày chi tiết trong Chương 4 và tích hợp vào bàn luận CDCM trong Chương 5.</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technological capability index; DAI là chỉ số chấp nhận số (digital adoption index), được hiểu như proxy foundational digital adoption; ICRV là khung phân loại thể chế 6 nhóm được phát triển cho luận án này; WBES là World Bank Enterprise Surveys.</w:t>
      </w:r>
    </w:p>
    <w:bookmarkEnd w:id="3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2026-06-12T10:18:59Z</dcterms:created>
  <dcterms:modified xsi:type="dcterms:W3CDTF">2026-06-12T10:18:59Z</dcterms:modified>
</cp:coreProperties>
</file>

<file path=docProps/custom.xml><?xml version="1.0" encoding="utf-8"?>
<Properties xmlns="http://schemas.openxmlformats.org/officeDocument/2006/custom-properties" xmlns:vt="http://schemas.openxmlformats.org/officeDocument/2006/docPropsVTypes"/>
</file>