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95c9fb0217a096226ae417fab7fc72a5513ab6"/>
    <w:p>
      <w:pPr>
        <w:pStyle w:val="Heading1"/>
      </w:pPr>
      <w:r>
        <w:t xml:space="preserve">Khi Chuyển Đổi Thể Chế Phá Vỡ Ngưỡng: Sự Biến Mất của Mối Quan Hệ Quốc Tế Hóa–Hiệu Quả Hình Chữ U Ngược ở Doanh Nghiệp Ấn Độ, 2014–2025</w:t>
      </w:r>
    </w:p>
    <w:p>
      <w:pPr>
        <w:pStyle w:val="FirstParagraph"/>
      </w:pPr>
      <w:r>
        <w:rPr>
          <w:iCs/>
          <w:i/>
        </w:rPr>
        <w:t xml:space="preserve">Bản dịch tiếng Việt. Nguồn: p9_india/p9_india_en_clean.md</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Management International Review (Springer Nature), hoặc thay thế là International Journal of Emerging Markets (Emerald).</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8.500 từ.</w:t>
      </w:r>
    </w:p>
    <w:p>
      <w:pPr>
        <w:pStyle w:val="BodyText"/>
      </w:pPr>
      <w:r>
        <w:rPr>
          <w:bCs/>
          <w:b/>
        </w:rPr>
        <w:t xml:space="preserve">Bảng biểu:</w:t>
      </w:r>
      <w:r>
        <w:t xml:space="preserve"> </w:t>
      </w:r>
      <w:r>
        <w:t xml:space="preserve">5 (Bảng 1 thống kê mô tả theo đợt khảo sát; Bảng 2 mô hình M2 chính qua các đợt; Bảng 3 kiểm định z Paternoster xuyên đợt; Bảng 4 điều tiết theo năng lực; Bảng 5 kiểm định vững ba đợt).</w:t>
      </w:r>
    </w:p>
    <w:p>
      <w:pPr>
        <w:pStyle w:val="BodyText"/>
      </w:pPr>
      <w:r>
        <w:rPr>
          <w:bCs/>
          <w:b/>
        </w:rPr>
        <w:t xml:space="preserve">Hình:</w:t>
      </w:r>
      <w:r>
        <w:t xml:space="preserve"> </w:t>
      </w:r>
      <w:r>
        <w:t xml:space="preserve">4 (Hình 1 mô hình khái niệm; Hình 2 đường cong I–P dự báo theo từng đợt; Hình 3 ước lượng điểm ngưỡng kèm khoảng tin cậy 95%; Hình 4 dòng thời gian thử nghiệm tựa tự nhiên UPI).</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w:t>
      </w:r>
      <w:r>
        <w:t xml:space="preserve">Nghiên cứu này xem xét liệu mối quan hệ hình chữ U ngược (inverted-U) giữa cường độ xuất khẩu (export intensity) và năng suất doanh nghiệp ở các doanh nghiệp tư nhân Ấn Độ có bền vững về cấu trúc qua thập kỷ chuyển đổi thể chế và chuyển đổi số từ 2014 đến 2025 hay không. Phân tích cũng kiểm định liệu năng lực công nghệ và năng lực số có điều tiết ngưỡng (turning point) hay không. Cửa sổ cải cách 2016 đến 2020 của Ấn Độ bao gồm việc thu hồi tiền mặt (demonetisation), Thuế Hàng hóa và Dịch vụ (Goods and Services Tax, GST), Bộ luật Phá sản và Mất khả năng thanh toán (Insolvency and Bankruptcy Code, IBC), sự bão hòa của Giao diện Thanh toán Hợp nhất (Unified Payments Interface, UPI), chương trình Khuyến khích Gắn với Sản lượng (Production-Linked Incentive, PLI) và chính sách tự lực Atmanirbhar Bharat. Cửa sổ này cung cấp một phép kiểm tra áp lực đặc biệt khắt khe đối với luận điểm về tính ổn định ngưỡng.</w:t>
      </w:r>
    </w:p>
    <w:p>
      <w:pPr>
        <w:pStyle w:val="BodyText"/>
      </w:pPr>
      <w:r>
        <w:rPr>
          <w:bCs/>
          <w:b/>
        </w:rPr>
        <w:t xml:space="preserve">Thiết kế/Phương pháp/Cách tiếp cận.</w:t>
      </w:r>
      <w:r>
        <w:t xml:space="preserve"> </w:t>
      </w:r>
      <w:r>
        <w:t xml:space="preserve">Ba đợt dữ liệu vi mô của Khảo sát Doanh nghiệp Ngân hàng Thế giới (World Bank Enterprise Survey, WBES) cho Ấn Độ (2014 PICS3, N = 9.281; 2022 BEE, N = 9.376; 2025 BREADY, N = 10.479; N thô gộp = 29.136) được ước lượng bằng bình phương nhỏ nhất (OLS) với sai số chuẩn vững HC1, các số hạng FSTS bậc hai và các tương tác năng lực. Kiểm định U của Lind–Mehlum xác minh hình chữ U ngược theo từng đợt; kiểm định z Paternoster (Paternoster z-test) xuyên đợt đánh giá sự bằng nhau của hệ số giữa 2014 và 2025 (cửa sổ chính 11 năm); đợt 2022 cung cấp kiểm định vững ba đợt với xu hướng thời gian tuyến tính và bậc hai. Việc triển khai UPI (tháng 4 năm 2016) cung cấp một thử nghiệm tựa tự nhiên cho sự bão hòa DAI giữa hai đợt chính.</w:t>
      </w:r>
    </w:p>
    <w:p>
      <w:pPr>
        <w:pStyle w:val="BodyText"/>
      </w:pPr>
      <w:r>
        <w:rPr>
          <w:bCs/>
          <w:b/>
        </w:rPr>
        <w:t xml:space="preserve">Kết quả.</w:t>
      </w:r>
      <w:r>
        <w:t xml:space="preserve"> </w:t>
      </w:r>
      <w:r>
        <w:t xml:space="preserve">Kết quả cho thấy sự sụp đổ cấu trúc của hình chữ U ngược. Năm 2014, mối quan hệ là hình chữ U ngược cổ điển với điểm ngưỡng tại FSTS = 61,8 phần trăm (KTC 95 phần trăm: 55,0; 68,6) và p đồng thời Lind–Mehlum &lt; 0,0001. Đến năm 2022, hình chữ U ngược vẫn còn nhưng điểm ngưỡng dịch chuyển vào trong tới 40,7 phần trăm (KTC 95 phần trăm: 38,0; 43,5). Đến năm 2025, số hạng độ cong mất ý nghĩa thống kê (β₂ = −0,16, p = 0,42). Mối quan hệ trở thành đơn điệu âm trên toàn dải FSTS. Các kiểm định z Paternoster xuyên đợt bác bỏ sự bằng nhau của hệ số đối với cả số hạng tuyến tính (z = −7,94, p &lt; 0,0001) và bậc hai (z = +4,17, p &lt; 0,0001) giữa 2014 và 2025. Kiểm định vững gộp ba đợt với biến giả đợt xác nhận FSTS × wave_2025 = −1,63 (p &lt; 0,0001). Tương tác thanh toán điện tử UPI Tầng 2 mang dấu âm (FSTS × DAI_epay = −4,02, p = 0,004). Điều này gợi ý rằng hạ tầng số nội địa bằng đồng rupee không thay thế cho hạ tầng tài chính xuyên biên giới mà các nhà xuất khẩu cần.</w:t>
      </w:r>
    </w:p>
    <w:p>
      <w:pPr>
        <w:pStyle w:val="BodyText"/>
      </w:pPr>
      <w:r>
        <w:rPr>
          <w:bCs/>
          <w:b/>
        </w:rPr>
        <w:t xml:space="preserve">Hạn chế/hàm ý nghiên cứu.</w:t>
      </w:r>
      <w:r>
        <w:t xml:space="preserve"> </w:t>
      </w:r>
      <w:r>
        <w:t xml:space="preserve">Ba đợt là các mặt cắt ngang độc lập thay vì dữ liệu mảng (panel) trong cùng doanh nghiệp, hỗ trợ so sánh xuyên đợt nhưng không hỗ trợ suy luận nhân quả trong cùng doanh nghiệp. Các công cụ 2014 (PICS3), 2022 (BEE trung gian) và 2025 (BREADY) khác nhau về cách thao tác hóa DAI (chỉ Tầng 1 so với Tầng 1 + thanh toán điện tử Tầng 2), giới hạn các kiểm định điều tiết DAI ba đợt vào Tầng 1 trừ khi phân tích Tầng 2 chỉ-có-ở-2025 được xem là khám phá.</w:t>
      </w:r>
    </w:p>
    <w:p>
      <w:pPr>
        <w:pStyle w:val="BodyText"/>
      </w:pPr>
      <w:r>
        <w:rPr>
          <w:bCs/>
          <w:b/>
        </w:rPr>
        <w:t xml:space="preserve">Hàm ý thực tiễn.</w:t>
      </w:r>
      <w:r>
        <w:t xml:space="preserve"> </w:t>
      </w:r>
      <w:r>
        <w:t xml:space="preserve">Đối với chính sách xúc tiến xuất khẩu cho doanh nghiệp nhỏ và vừa (SME) Ấn Độ dưới Atmanirbhar Bharat và chương trình PLI, sự biến mất của điểm ngưỡng hình chữ U ngược hàm ý rằng các mục tiêu cường độ xuất khẩu trước đây không còn bảo vệ được về mặt thực nghiệm cho môi trường thể chế năm 2025. Mức FSTS tối đa hóa năng suất khoảng 60 phần trăm của năm 2014 không còn đặc trưng cho hàm sản xuất cấp doanh nghiệp năm 2025. Đối với chính sách hạ tầng số, điều tiết DAI Tầng 2 mang dấu âm bác bỏ giả thuyết thay thế đơn giản. Các đường ray UPI định hướng nội địa không thay thế cho hạ tầng tài chính xuyên biên giới mà các nhà xuất khẩu cần (SWIFT, ngân hàng đại lý, tài trợ thương mại, bảo hiểm tín dụng xuất khẩu). Đầu tư chính sách vào hạ tầng số chuyên biệt cho hoạt động xuyên biên giới là ràng buộc then chốt đối với năng suất quốc tế hóa.</w:t>
      </w:r>
    </w:p>
    <w:p>
      <w:pPr>
        <w:pStyle w:val="BodyText"/>
      </w:pPr>
      <w:r>
        <w:rPr>
          <w:bCs/>
          <w:b/>
        </w:rPr>
        <w:t xml:space="preserve">Hàm ý xã hội.</w:t>
      </w:r>
      <w:r>
        <w:t xml:space="preserve"> </w:t>
      </w:r>
      <w:r>
        <w:t xml:space="preserve">Phát hiện cung cấp thông tin cho việc hòa nhập SME Nam Á vào chuỗi giá trị toàn cầu. Trường hợp Ấn Độ chứng minh rằng hạ tầng số nội địa được cung cấp công (UPI, Aadhaar, ONDC) và hạ tầng xuất khẩu xuyên biên giới là các yếu tố bổ sung thay vì thay thế trong hàm sản xuất xuất khẩu. Tăng trưởng xuất khẩu bao trùm đòi hỏi đầu tư chính sách vào cả hai lớp.</w:t>
      </w:r>
    </w:p>
    <w:p>
      <w:pPr>
        <w:pStyle w:val="BodyText"/>
      </w:pPr>
      <w:r>
        <w:rPr>
          <w:bCs/>
          <w:b/>
        </w:rPr>
        <w:t xml:space="preserve">Tính nguyên bản/Giá trị.</w:t>
      </w:r>
      <w:r>
        <w:t xml:space="preserve"> </w:t>
      </w:r>
      <w:r>
        <w:t xml:space="preserve">Nghiên cứu này cung cấp bằng chứng đầu tiên ở cấp doanh nghiệp rằng chuyển đổi thể chế cực đoan có thể làm tan rã ngưỡng (threshold dissolution) hình chữ U ngược, thay vì chỉ tái định vị điểm ngưỡng. Phát hiện này xác định một điều kiện phạm vi chưa từng được kiểm định cho luận điểm hình chữ U ngược kinh điển của Lu and Beamish (2004). Ngưỡng phụ thuộc vào tính ổn định thể chế. Công trình trước đây của các tác giả về doanh nghiệp Ấn Độ (Do and Phan, 2025) sử dụng đặc tả DOI tuyến tính, ước lượng FGLS, 380 doanh nghiệp được đối sánh và lăng kính lý thuyết Tầng lớp Thượng đỉnh (Upper Echelons). Công trình đó chỉ được ghi nhận ở đây như công trình trước của tác giả.</w:t>
      </w:r>
    </w:p>
    <w:p>
      <w:pPr>
        <w:pStyle w:val="BodyText"/>
      </w:pPr>
      <w:r>
        <w:rPr>
          <w:bCs/>
          <w:b/>
        </w:rPr>
        <w:t xml:space="preserve">Từ khóa:</w:t>
      </w:r>
      <w:r>
        <w:t xml:space="preserve"> </w:t>
      </w:r>
      <w:r>
        <w:t xml:space="preserve">quốc tế hóa–hiệu quả; cường độ xuất khẩu; ổn định ngưỡng; Ấn Độ; UPI; năng lực số; năng lực công nghệ; chuyển đổi thể chế; thị trường mới nổi; Điều tiết Năng lực Số Có điều kiện.</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O25 (chính sách công nghiệp).</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cường độ xuất khẩu–năng suất hình chữ U ngược ở doanh nghiệp Ấn Độ sụp đổ giữa 2014 (điểm ngưỡng TP = 61,8%) và 2025 (độ cong không có ý nghĩa). Bằng chứng trung gian năm 2022 (TP = 40,7%) cho thấy sự dịch chuyển tiệm tiến.</w:t>
      </w:r>
    </w:p>
    <w:p>
      <w:pPr>
        <w:numPr>
          <w:ilvl w:val="0"/>
          <w:numId w:val="1001"/>
        </w:numPr>
      </w:pPr>
      <w:r>
        <w:t xml:space="preserve">Các kiểm định z Paternoster xuyên đợt bác bỏ sự bằng nhau của hệ số ở mức p &lt; 0,0001 cho cả số hạng FSTS tuyến tính và bậc hai.</w:t>
      </w:r>
    </w:p>
    <w:p>
      <w:pPr>
        <w:numPr>
          <w:ilvl w:val="0"/>
          <w:numId w:val="1001"/>
        </w:numPr>
      </w:pPr>
      <w:r>
        <w:t xml:space="preserve">Sự sụp đổ trùng với thập kỷ thay đổi thể chế chưa từng có của Ấn Độ: thu hồi tiền mặt, GST, IBC, UPI, PLI, COVID-19 và Atmanirbhar Bharat.</w:t>
      </w:r>
    </w:p>
    <w:p>
      <w:pPr>
        <w:numPr>
          <w:ilvl w:val="0"/>
          <w:numId w:val="1001"/>
        </w:numPr>
      </w:pPr>
      <w:r>
        <w:t xml:space="preserve">Thanh toán điện tử UPI Tầng 2 tương tác âm với cường độ xuất khẩu, bác bỏ giả thuyết hạ tầng-công-thay-thế.</w:t>
      </w:r>
    </w:p>
    <w:p>
      <w:pPr>
        <w:numPr>
          <w:ilvl w:val="0"/>
          <w:numId w:val="1001"/>
        </w:numPr>
      </w:pPr>
      <w:r>
        <w:t xml:space="preserve">Phát hiện xác định một điều kiện phạm vi chưa từng được kiểm định: ngưỡng hình chữ U ngược phụ thuộc vào tính ổn định thể chế.</w:t>
      </w:r>
    </w:p>
    <w:p>
      <w:pPr>
        <w:numPr>
          <w:ilvl w:val="0"/>
          <w:numId w:val="1001"/>
        </w:numPr>
      </w:pPr>
      <w:r>
        <w:t xml:space="preserve">Bổ sung nhưng không trùng lặp công trình trước của tác giả về điều tiết của ban lãnh đạo cấp cao (TMT) ở doanh nghiệp Ấn Độ (Do &amp; Phan, 2025, IntechOpen).</w:t>
      </w:r>
    </w:p>
    <w:p>
      <w:r>
        <w:pict>
          <v:rect style="width:0;height:1.5pt" o:hralign="center" o:hrstd="t" o:hr="t"/>
        </w:pict>
      </w:r>
    </w:p>
    <w:bookmarkEnd w:id="25"/>
    <w:bookmarkStart w:id="26" w:name="X8291021638e5c0ee7b47a0aaabc4b853f1da348"/>
    <w:p>
      <w:pPr>
        <w:pStyle w:val="Heading2"/>
      </w:pPr>
      <w:r>
        <w:t xml:space="preserve">1. Giới thiệu</w:t>
      </w:r>
    </w:p>
    <w:p>
      <w:pPr>
        <w:pStyle w:val="FirstParagraph"/>
      </w:pPr>
      <w:r>
        <w:t xml:space="preserve">Ấn Độ giai đoạn 2014 đến 2025 trải qua chuyển đổi thể chế và chuyển đổi số với tốc độ không có tiền lệ lịch sử rõ ràng trong thời kỳ hậu độc lập của bất kỳ nền kinh tế mới nổi lớn nào. Chính phủ Modi nhậm chức vào tháng 5 năm 2014 với một chương trình cải cách rõ ràng. Trong vòng ba mươi tháng, ba thay đổi chính sách nền tảng đã vẽ lại môi trường vận hành cho doanh nghiệp tư nhân. Bộ luật Phá sản và Mất khả năng thanh toán (tháng 5 năm 2016) thay thế một chế độ phá sản phân mảnh. Việc thu hồi 86 phần trăm tiền mặt đang lưu thông (tháng 11 năm 2016) áp đặt một sự co thắt thanh khoản đột ngột mà các tác động ở cấp doanh nghiệp được ghi nhận là vừa tức thời vừa dai dẳng (Chodorow-Reich et al., 2020). Thuế Hàng hóa và Dịch vụ (tháng 7 năm 2017) thay thế một liên bang các loại thuế gián thu cấp bang bằng một khung quốc gia duy nhất. Tháng 4 năm 2016 cũng chứng kiến sự ra mắt của Giao diện Thanh toán Hợp nhất (UPI), hạ tầng thanh toán số công mà đến năm 2024 đã xử lý hơn 12 tỷ giao dịch mỗi tháng. Không nền kinh tế phát triển nào sánh được với quy mô ứng dụng số công này. Bước ngoặt chính sách năm 2020 chuyển hướng chiến lược quốc gia vào trong. Học thuyết Atmanirbhar Bharat (Ấn Độ tự lực) và chương trình Khuyến khích Gắn với Sản lượng (PLI) tái định hướng các động cơ khuyến khích năng lực cấp doanh nghiệp về phía quy mô sản xuất nội địa, ngay cả khi đại dịch COVID-19 làm gián đoạn chuỗi cung ứng xuyên biên giới suốt 2020 và 2022. Đến năm 2024, Ấn Độ đã trở thành nền kinh tế lớn thứ năm thế giới và đang giữ vai trò chủ tịch G20. Cửa sổ mười một năm của nghiên cứu này bao trùm toàn bộ sự biến động thể chế đó.</w:t>
      </w:r>
    </w:p>
    <w:p>
      <w:pPr>
        <w:pStyle w:val="BodyText"/>
      </w:pPr>
      <w:r>
        <w:t xml:space="preserve">Văn liệu quốc tế hóa–hiệu quả (I–P) đưa ra một dự đoán sắc bén để có thể kiểm định bối cảnh này. Lu and Beamish (2004), Contractor (2007) và tổng hợp meta-phân tích của Marano et al. (2016) ghi nhận một mối quan hệ hình chữ U ngược giữa cường độ xuất khẩu và năng suất doanh nghiệp đã được tái lập qua nhiều bối cảnh địa lý, cửa sổ thời gian và thước đo hiệu quả. Mối quan hệ này hiện được coi như một quy luật khái quát gần đồng thuận. Một dòng phê phán nhỏ nhưng sắc bén (Hennart, 2007; Verbeke and Forootan, 2012) chất vấn đặc tả và đo lường; một dòng văn liệu về điều kiện điều tiết (Cuervo-Cazurra, 2012; Banalieva et al., 2017) xem xét cách phát triển thể chế và đặc điểm doanh nghiệp dịch chuyển mối quan hệ. Tuy nhiên, xuyên suốt các dòng văn liệu này, một giả định vẫn nổi bật chưa được kiểm định với dữ liệu dọc trong cùng quốc gia: rằng hình chữ U ngược bất biến về cấu trúc trước thay đổi thể chế vĩ mô. Giả định này có vẻ hợp lý. Nếu hình chữ U ngược phản ánh sự cân bằng chi phí-lợi ích cấp doanh nghiệp giữa học hỏi qua xuất khẩu và chi phí mở rộng quá mức, và nếu cả hai vế của sự cân bằng này được quyết định chủ yếu bởi các cơ chế nội tại doanh nghiệp và cấp ngành, thì các cú sốc thể chế vĩ mô sẽ dịch chuyển mức năng suất mà không làm thay đổi vị trí ngưỡng. Quan điểm dựa trên thể chế (Peng et al., 2008; Peng et al., 2009) tương thích với giả định này khi thể chế tiến hóa dần dần. Thập kỷ cải cách của Ấn Độ kiểm tra giới hạn của sự tương thích này.</w:t>
      </w:r>
    </w:p>
    <w:p>
      <w:pPr>
        <w:pStyle w:val="BodyText"/>
      </w:pPr>
      <w:r>
        <w:t xml:space="preserve">Nghiên cứu này sử dụng ba đợt dữ liệu vi mô WBES cho Ấn Độ: 2014 PICS3 (N_thô = 9.281), 2022 BEE (N_thô = 9.376) và 2025 BREADY (N_thô = 10.479); mẫu phân tích sau loại trừ listwise lần lượt là 8.941, 9.300 và 10.476 (gộp N = 28.717). Mẫu thô gộp chứa 29.136 quan sát doanh nghiệp-năm. Bộ dữ liệu vượt, theo một bậc độ lớn, các mẫu mảng được đối sánh thường dùng trong công trình I–P Ấn Độ trước đây (Elango and Pattnaik, 2007; Chittoor et al., 2009). Ba đặc điểm của bối cảnh thực nghiệm đặc biệt có giá trị thông tin. Thứ nhất, đợt 2014 cung cấp một quan sát cơ sở được thực hiện trước khi thập kỷ cải cách thực sự bắt đầu. Điều này tách biệt cấu hình tiền-cú-sốc của mối quan hệ I–P. Thứ hai, đợt 2022 BEE nằm giữa đợt cải cách đầu tiên (2016 đến 2017) và sự chuyển hướng chính sách năm 2020. Đợt trung gian cho phép kiểm định liệu động lực xuyên đợt là tiệm tiến hay liệu năm 2025 phản ánh một sự gián đoạn do thay đổi công cụ. Thứ ba, đợt 2025 BREADY bao gồm một thước đo mới về việc sử dụng hạ tầng số công: tỷ lệ doanh thu doanh nghiệp nhận qua thanh toán điện tử. Thước đo này nắm bắt các giao dịch qua trung gian UPI và hỗ trợ một kiểm định tựa thực nghiệm khám phá đối với luận điểm nhà-nước-kiến-tạo rằng hạ tầng số công có thể thay thế cho tích lũy năng lực số tư nhân (Aschauer, 1989; Donaldson, 2018).</w:t>
      </w:r>
    </w:p>
    <w:p>
      <w:pPr>
        <w:pStyle w:val="BodyText"/>
      </w:pPr>
      <w:r>
        <w:t xml:space="preserve">Nghiên cứu này đóng góp ba điểm. Thứ nhất, phân tích cung cấp bằng chứng dọc trong cùng quốc gia đầu tiên rằng mối quan hệ cường độ-xuất-khẩu-năng-suất hình chữ U ngược có thể bị tan rã bởi thay đổi thể chế cực đoan, thay vì chỉ tái định vị điểm ngưỡng. Điểm ngưỡng năm 2014 nằm tại 61,8 phần trăm FSTS với hình chữ U ngược được ủng hộ mạnh qua các kiểm định Lind and Mehlum (2010). Năm 2022, điểm ngưỡng di chuyển vào trong tới 40,7 phần trăm. Năm 2025, độ cong bậc hai không thể phân biệt về mặt thống kê với không, và mối quan hệ là đơn điệu âm trên dải cường độ xuất khẩu liên quan thực nghiệm. Các kiểm định z Paternoster xuyên đợt (Paternoster et al., 1998) bác bỏ dứt khoát sự bằng nhau của hệ số. Điều này xác định một điều kiện phạm vi môi trường mà văn liệu I–P kinh điển ngầm giả định nhưng chưa bao giờ kiểm định với dữ liệu cấp doanh nghiệp đa đợt. Hình chữ U ngược phụ thuộc vào tính ổn định thể chế. Thứ hai, phân tích tinh chỉnh văn liệu nhà-nước-kiến-tạo về hạ tầng số công bằng cách cho thấy hạ tầng số công và tư là các yếu tố bổ sung thay vì thay thế trong hàm sản xuất xuất khẩu. Các đường ray UPI của Ấn Độ mang tính chuyển đổi đối với giao dịch nội địa. Chúng không thay thế cho hạ tầng tài chính xuyên biên giới mà các nhà xuất khẩu đặc biệt cần. Điều tiết Tầng 2 mang dấu âm được diễn giải mạch lạc nhất như một yêu cầu căn chỉnh-mục-đích mà các xử lý trước đây về thay thế hạ tầng công chưa nêu rõ. Thứ ba, nghiên cứu này ghi nhận rằng các construct năng lực ổn định về lý thuyết qua các bối cảnh có thể biểu hiện dấu vận hành phụ thuộc bối cảnh khi các động cơ chính sách lớn tái định hướng việc sử dụng chiến lược của chúng. Chỉ số Năng lực Công nghệ (Technological Capability Index) vận hành như một yếu tố dịch chuyển mức năng suất dương vào năm 2014 và 2022. Nó sau đó đổi sang âm vào năm 2025 với một tương tác cường độ xuất khẩu dương. Mô hình này nhất quán với đánh đổi nhấn mạnh chiến lược được ghi nhận bởi Mizik and Jacobson (2003), điều chưa từng được đưa vào văn liệu kinh doanh quốc tế.</w:t>
      </w:r>
    </w:p>
    <w:p>
      <w:pPr>
        <w:pStyle w:val="BodyText"/>
      </w:pPr>
      <w:r>
        <w:t xml:space="preserve">Nghiên cứu này mở rộng nhưng không trùng lặp công trình trước đây của các tác giả về doanh nghiệp Ấn Độ. Do and Phan (2025) xem xét một mẫu con được đối sánh gồm 380 doanh nghiệp qua hai đợt. Nghiên cứu đó sử dụng đặc tả tuyến tính của mức độ quốc tế hóa, khung Uppsala (Johanson and Vahlne, 1977) và Tầng lớp Thượng đỉnh (Hambrick and Mason, 1984), ước lượng bình phương nhỏ nhất tổng quát khả thi, và điều tiết của ban lãnh đạo cấp cao như câu hỏi nghiên cứu trung tâm. Nghiên cứu hiện tại sử dụng một lăng kính lý thuyết khác (quan điểm dựa trên thể chế), một đặc tả khác (hình chữ U ngược bậc hai với kiểm định Lind–Mehlum), một mẫu khác (toàn bộ WBES qua ba đợt), một phương pháp khác (bình phương nhỏ nhất với sai số chuẩn vững theo phương sai sai số không đồng nhất và theo cụm bang), và một câu hỏi nghiên cứu khác (động lực ngưỡng dưới dịch chuyển thể chế). Hai nghiên cứu bổ sung cho nhau thay vì chồng lấn. Công trình trước đặc trưng hóa các cơ chế quản trị vận hành bên trong doanh nghiệp. Công trình hiện tại đặc trưng hóa các cơ chế thể chế vận hành lên doanh nghiệp.</w:t>
      </w:r>
    </w:p>
    <w:p>
      <w:pPr>
        <w:pStyle w:val="BodyText"/>
      </w:pPr>
      <w:r>
        <w:t xml:space="preserve">Phần còn lại của bài báo được tổ chức như sau. Mục 2 phát triển khung lý thuyết. Mục 3 trình bày chi tiết bộ dữ liệu WBES ba đợt, giao thức hài hòa dữ liệu qua các thế hệ bảng hỏi PICS3, BEE trung gian và BREADY, và chiến lược ước lượng. Mục 4 báo cáo kết quả theo từng đợt và gộp, các kiểm định z Paternoster xuyên đợt, ước lượng điều tiết theo năng lực và năm đặc tả kiểm định vững. Mục 5 thảo luận đóng góp về điều kiện biên, sự tinh chỉnh giữa hạ tầng số công và xuyên biên giới, sự đảo dấu của năng lực công nghệ, và các hàm ý chính sách được hiệu chỉnh từ bằng chứng về sự sụp đổ ngưỡng. Mục 6 ghi nhận các hạn chế và phác thảo hướng nghiên cứu tương lai.</w:t>
      </w:r>
    </w:p>
    <w:bookmarkEnd w:id="26"/>
    <w:bookmarkStart w:id="32" w:name="Xc948a667d59efd33f3b5fae659341d5c8fb2e03"/>
    <w:p>
      <w:pPr>
        <w:pStyle w:val="Heading2"/>
      </w:pPr>
      <w:r>
        <w:t xml:space="preserve">2. Lý thuyết và giả thuyết</w:t>
      </w:r>
    </w:p>
    <w:bookmarkStart w:id="27" w:name="X62291a2e128e8ddf98ecefeff10485fb072415f"/>
    <w:p>
      <w:pPr>
        <w:pStyle w:val="Heading3"/>
      </w:pPr>
      <w:r>
        <w:t xml:space="preserve">2.1 Cơ sở hình chữ U ngược và các điều kiện phạm vi được giả định</w:t>
      </w:r>
    </w:p>
    <w:p>
      <w:pPr>
        <w:pStyle w:val="FirstParagraph"/>
      </w:pPr>
      <w:r>
        <w:t xml:space="preserve">Văn liệu quốc tế hóa–hiệu quả (I–P) kinh điển hậu năm 2000 hội tụ về một đặc tả hình chữ U ngược (Lu and Beamish, 2004; Marano et al., 2016). Năng suất tăng theo quốc tế hóa cho đến một ngưỡng tối ưu rồi sau đó giảm khi chi phí mở rộng quá mức và phối hợp lấn át các lợi ích học hỏi qua xuất khẩu và đa dạng hóa thị trường. Mối quan hệ này đã được tái lập qua nhiều bối cảnh địa lý, cửa sổ thời gian và thước đo hiệu quả. Nó đã trở thành một quy luật khái quát gần đồng thuận trong lĩnh vực. Các phê phán phương pháp gần đây nêu lên quan ngại về độ nhạy của đặc tả (Hennart, 2007; Verbeke and Forootan, 2012). Một dòng văn liệu nhỏ về các yếu tố điều tiết thể chế đã bắt đầu khám phá các điều kiện biên (Cuervo-Cazurra, 2012; Banalieva et al., 2017). Đồng thời với nghiên cứu này, Hutzschenreuter, Kleindienst, Sengupta and Verbeke (2026) báo cáo một mối quan hệ hình chữ U ngược giữa khoảng cách văn hóa gia tăng và hiệu quả ở 109 công ty đa quốc gia Ấn Độ được theo dõi trong 6–31 năm sau tự do hóa năm 1991, quy ngưỡng cho một thách thức siêu-duy-lý-bị-giới-hạn: các nhà quản lý cấp cao đánh giá thấp mức độ mà tổng hợp nhiều bước đầu tư quốc tế áp đảo năng lực quản lý. Phát hiện của họ thiết lập tính khái quát của luận điểm hình chữ U ngược ngoài cơ sở Đức của Hutzschenreuter and Voll (2008) và cung cấp một vi nền tảng Penrose bổ sung cho lập luận thể chế được trình bày dưới đây. Tuy nhiên, giả định nền tảng rằng hình chữ U ngược là một đặc điểm ổn định về cấu trúc của hàm sản xuất cấp doanh nghiệp, bất biến trước thay đổi thể chế vĩ mô, vẫn phần lớn chưa được kiểm định trong các thiết kế dọc trong cùng quốc gia. Giả thuyết đầu tiên tái thiết lập cơ sở để có thể đánh giá động lực ngưỡng.</w:t>
      </w:r>
    </w:p>
    <w:p>
      <w:pPr>
        <w:pStyle w:val="BlockText"/>
      </w:pPr>
      <w:r>
        <w:rPr>
          <w:bCs/>
          <w:b/>
        </w:rPr>
        <w:t xml:space="preserve">Giả thuyết 1 (H1).</w:t>
      </w:r>
      <w:r>
        <w:t xml:space="preserve"> </w:t>
      </w:r>
      <w:r>
        <w:t xml:space="preserve">Trong điều kiện ổn định thể chế, mối quan hệ cường độ-xuất-khẩu–năng-suất ở doanh nghiệp tư nhân Ấn Độ có dạng hình chữ U ngược, với một điểm ngưỡng nằm trong dải FSTS liên quan thực nghiệm.</w:t>
      </w:r>
    </w:p>
    <w:p>
      <w:pPr>
        <w:pStyle w:val="FirstParagraph"/>
      </w:pPr>
      <w:r>
        <w:t xml:space="preserve">Điều kiện phạm vi được in nghiêng là có chủ đích. H1 được khung hóa là có điều kiện thay vì phổ quát, dự đoán khả năng rằng sự bất ổn thể chế có thể làm tan rã mối quan hệ. Bằng chứng thực nghiệm cho cơ sở năm 2014 (khi biến động thể chế thời kỳ cải cách còn ở mức tối thiểu) ủng hộ H1. Việc không ủng hộ H1 ở các đợt sau trở nên có giá trị thông tin về chính điều kiện phạm vi.</w:t>
      </w:r>
    </w:p>
    <w:bookmarkEnd w:id="27"/>
    <w:bookmarkStart w:id="28" w:name="Xb14044b8a0c326fa6ea5aa4e03dce3a7e4344b0"/>
    <w:p>
      <w:pPr>
        <w:pStyle w:val="Heading3"/>
      </w:pPr>
      <w:r>
        <w:t xml:space="preserve">2.2 Lý thuyết thể chế và động lực ngưỡng</w:t>
      </w:r>
    </w:p>
    <w:p>
      <w:pPr>
        <w:pStyle w:val="FirstParagraph"/>
      </w:pPr>
      <w:r>
        <w:t xml:space="preserve">Quan điểm dựa trên thể chế (Peng et al., 2008) cho rằng chiến lược và hiệu quả doanh nghiệp được định hình đồng thời bởi điều kiện ngành, nguồn lực doanh nghiệp và môi trường thể chế. Lớp thể chế trở nên chi phối trong bối cảnh thị trường mới nổi. Trong điều kiện ổn định thể chế, sự cân bằng chi phí-lợi ích làm nền tảng cho hình chữ U ngược (lợi ích học hỏi qua xuất khẩu so với chi phí mở rộng quá mức) được quyết định chủ yếu bởi các cơ chế nội tại doanh nghiệp và cấp ngành. Trong điều kiện bất ổn thể chế, sự cân bằng bị nhiễu loạn ngoại sinh. Chi phí giao dịch xuyên biên giới, khả năng tiếp cận tài chính, tính dự đoán được của quy định và các tín hiệu chính sách vĩ mô đều dịch chuyển, có thể theo những cách không đơn điệu.</w:t>
      </w:r>
    </w:p>
    <w:p>
      <w:pPr>
        <w:pStyle w:val="BodyText"/>
      </w:pPr>
      <w:r>
        <w:t xml:space="preserve">North (1990) và Williamson (2000) phân biệt thay đổi thể chế ở nhiều cấp độ vận hành theo các thang thời gian khác nhau: quy tắc chính thức (năm), thực thi quy định (thập kỷ) và chuẩn mực phi chính thức (thế hệ). Cửa sổ 2014 đến 2025 của Ấn Độ chứa các cú sốc quy tắc chính thức ở mật độ chưa từng có. Chúng bao gồm thu hồi tiền mặt (tháng 11 năm 2016), Thuế Hàng hóa và Dịch vụ (tháng 7 năm 2017), Bộ luật Phá sản và Mất khả năng thanh toán (tháng 5 năm 2016), chương trình Khuyến khích Gắn với Sản lượng (2020), gián đoạn chuỗi cung ứng COVID-19 (2020 đến 2022) và chính sách tự lực Atmanirbhar Bharat (2020). Mỗi cú sốc đều không tầm thường khi xét riêng lẻ. Hiệu ứng tích tụ qua một thập kỷ không có tiền lệ lịch sử tương đương ở một thị trường mới nổi lớn.</w:t>
      </w:r>
    </w:p>
    <w:p>
      <w:pPr>
        <w:pStyle w:val="BodyText"/>
      </w:pPr>
      <w:r>
        <w:t xml:space="preserve">Các giả thuyết cạnh tranh được phát biểu như sau:</w:t>
      </w:r>
    </w:p>
    <w:p>
      <w:pPr>
        <w:pStyle w:val="BlockText"/>
      </w:pPr>
      <w:r>
        <w:rPr>
          <w:bCs/>
          <w:b/>
        </w:rPr>
        <w:t xml:space="preserve">Giả thuyết 2a (H2a).</w:t>
      </w:r>
      <w:r>
        <w:t xml:space="preserve"> </w:t>
      </w:r>
      <w:r>
        <w:t xml:space="preserve">Điểm ngưỡng hình chữ U ngược ở Ấn Độ khác biệt có ý nghĩa thống kê giữa 2014 (tiền-thập-kỷ-cải-cách) và 2025 (hậu-thập-kỷ-cải-cách), phản ánh sự nhiễu loạn thể chế đối với hàm sản xuất cơ sở.</w:t>
      </w:r>
    </w:p>
    <w:p>
      <w:pPr>
        <w:pStyle w:val="BlockText"/>
      </w:pPr>
      <w:r>
        <w:rPr>
          <w:bCs/>
          <w:b/>
        </w:rPr>
        <w:t xml:space="preserve">Giả thuyết 2b (H2b).</w:t>
      </w:r>
      <w:r>
        <w:t xml:space="preserve"> </w:t>
      </w:r>
      <w:r>
        <w:t xml:space="preserve">Điểm ngưỡng hình chữ U ngược ở Ấn Độ bền vững về cấu trúc qua 2014 và 2025 bất chấp thập kỷ cải cách gồm thu hồi tiền mặt, GST, IBC, UPI, PLI, COVID-19 và Atmanirbhar Bharat.</w:t>
      </w:r>
    </w:p>
    <w:p>
      <w:pPr>
        <w:pStyle w:val="FirstParagraph"/>
      </w:pPr>
      <w:r>
        <w:t xml:space="preserve">Thiết kế cạnh tranh có tính quyết định: H2a và H2b không thể cùng được ủng hộ. Bằng chứng tương đương từ các nền kinh tế châu Á mới nổi dưới thay đổi thể chế ôn hòa hơn có xu hướng ủng hộ độ bền (Contractor et al., 2007; Singh, 2009). Nếu Ấn Độ dưới thay đổi cực đoan cũng ủng hộ độ bền, thì hình chữ U ngược được thiết lập là vững chắc trên diện rộng trước bối cảnh thể chế. Nếu Ấn Độ ủng hộ dịch chuyển, thì điều kiện phạm vi được xác định.</w:t>
      </w:r>
    </w:p>
    <w:bookmarkEnd w:id="28"/>
    <w:bookmarkStart w:id="29" w:name="X2b8c1e09c1af604f520afb3274d04273687aa95"/>
    <w:p>
      <w:pPr>
        <w:pStyle w:val="Heading3"/>
      </w:pPr>
      <w:r>
        <w:t xml:space="preserve">2.3 Điều tiết của năng lực công nghệ</w:t>
      </w:r>
    </w:p>
    <w:p>
      <w:pPr>
        <w:pStyle w:val="FirstParagraph"/>
      </w:pPr>
      <w:r>
        <w:t xml:space="preserve">Năng lực hấp thụ (Cohen and Levinthal, 1990) và năng lực động (Teece, 2007) hàm ý rằng các doanh nghiệp có năng lực công nghệ mạnh hơn rút ra nhiều năng suất hơn từ bất kỳ mức phơi nhiễm nào với thị trường quốc tế. Ba chiều được thao tác hóa đi vào Chỉ số Năng lực Công nghệ (TCI): chứng nhận chất lượng, cấp phép công nghệ nước ngoài và hoạt động đổi mới sản phẩm. Trong điều kiện ổn định thể chế và động cơ chiến lược ổn định, TCI nên vận hành như một yếu tố dịch chuyển mức năng suất dương mà không làm thay đổi độ cong hình chữ U ngược.</w:t>
      </w:r>
    </w:p>
    <w:p>
      <w:pPr>
        <w:pStyle w:val="BlockText"/>
      </w:pPr>
      <w:r>
        <w:rPr>
          <w:bCs/>
          <w:b/>
        </w:rPr>
        <w:t xml:space="preserve">Giả thuyết 3a (H3a).</w:t>
      </w:r>
      <w:r>
        <w:t xml:space="preserve"> </w:t>
      </w:r>
      <w:r>
        <w:t xml:space="preserve">Trong điều kiện ổn định thể chế và chiến lược (2014, 2022), năng lực công nghệ là một yếu tố dịch chuyển mức năng suất dương nhưng không làm thay đổi độ cong hình chữ U ngược.</w:t>
      </w:r>
    </w:p>
    <w:p>
      <w:pPr>
        <w:pStyle w:val="FirstParagraph"/>
      </w:pPr>
      <w:r>
        <w:t xml:space="preserve">Trong điều kiện chuyển hướng chính sách lớn, đặc biệt là việc triển khai Atmanirbhar Bharat và PLI hậu 2020, văn liệu nhấn mạnh chiến lược (Mizik and Jacobson, 2003) gợi ý rằng các doanh nghiệp tái phân bổ đầu tư TCI về phía các động cơ nội địa có thể trải nghiệm một mối quan hệ TCI-năng-suất khác ở cường độ xuất khẩu cao hơn. Chương trình PLI khuyến khích tích lũy năng lực sản xuất nội địa thay vì định hướng xuất khẩu.</w:t>
      </w:r>
    </w:p>
    <w:p>
      <w:pPr>
        <w:pStyle w:val="BlockText"/>
      </w:pPr>
      <w:r>
        <w:rPr>
          <w:bCs/>
          <w:b/>
        </w:rPr>
        <w:t xml:space="preserve">Giả thuyết 3b (H3b).</w:t>
      </w:r>
      <w:r>
        <w:t xml:space="preserve"> </w:t>
      </w:r>
      <w:r>
        <w:t xml:space="preserve">Trong điều kiện chuyển hướng chiến lược hậu-PLI (2025), đóng góp dương của năng lực công nghệ trở nên phụ thuộc vào cường độ xuất khẩu thay vì độc lập với nó.</w:t>
      </w:r>
    </w:p>
    <w:bookmarkEnd w:id="29"/>
    <w:bookmarkStart w:id="30" w:name="X9eb436c3a47826ec51a72c114c568ee4d5de8c3"/>
    <w:p>
      <w:pPr>
        <w:pStyle w:val="Heading3"/>
      </w:pPr>
      <w:r>
        <w:t xml:space="preserve">2.4 Điều tiết của năng lực số và thử nghiệm tựa tự nhiên UPI</w:t>
      </w:r>
    </w:p>
    <w:p>
      <w:pPr>
        <w:pStyle w:val="FirstParagraph"/>
      </w:pPr>
      <w:r>
        <w:t xml:space="preserve">Chỉ số Áp dụng Số (Digital Adoption Index, DAI) được phân tách thành hai tầng phản ánh các loại hạ tầng số khác biệt. Tầng 1 nắm bắt áp dụng số tư nhân cấp doanh nghiệp, đo bằng một biến nhị phân sở hữu website riêng có ở cả ba đợt WBES (2014, 2022, 2025). Tầng 2 nắm bắt áp dụng số qua trung gian hạ tầng công, đo bằng phần trăm doanh thu nhận qua thanh toán điện tử, chỉ có ở lược đồ 2025 BREADY. Giao diện Thanh toán Hợp nhất (UPI) của Ấn Độ ra mắt vào tháng 4 năm 2016 và đạt 12 tỷ giao dịch mỗi tháng vào năm 2024, cung cấp bối cảnh thực nghiệm cho Tầng 2. UPI là hạ tầng số công ở quy mô chưa từng có ở bất kỳ nền kinh tế mới nổi nào.</w:t>
      </w:r>
    </w:p>
    <w:p>
      <w:pPr>
        <w:pStyle w:val="BodyText"/>
      </w:pPr>
      <w:r>
        <w:t xml:space="preserve">Văn liệu nhà-nước-kiến-tạo gợi ý rằng hạ tầng công có thể thay thế cho tích lũy năng lực tư nhân ở các doanh nghiệp nhỏ hơn (Aschauer, 1989; Donaldson, 2018). Nếu UPI thay thế cho hạ tầng số tư nhân theo cùng cách, thì Tầng 2 nên điều tiết mối quan hệ I–P một cách đáng kể hơn Tầng 1:</w:t>
      </w:r>
    </w:p>
    <w:p>
      <w:pPr>
        <w:pStyle w:val="BlockText"/>
      </w:pPr>
      <w:r>
        <w:rPr>
          <w:bCs/>
          <w:b/>
        </w:rPr>
        <w:t xml:space="preserve">Giả thuyết 4a (H4a).</w:t>
      </w:r>
      <w:r>
        <w:t xml:space="preserve"> </w:t>
      </w:r>
      <w:r>
        <w:t xml:space="preserve">DAI Tầng 1 (áp dụng website tư nhân) điều tiết tích cực mối quan hệ I–P ở cường độ xuất khẩu cao hơn.</w:t>
      </w:r>
    </w:p>
    <w:p>
      <w:pPr>
        <w:pStyle w:val="BlockText"/>
      </w:pPr>
      <w:r>
        <w:rPr>
          <w:bCs/>
          <w:b/>
        </w:rPr>
        <w:t xml:space="preserve">Giả thuyết 4b (H4b).</w:t>
      </w:r>
      <w:r>
        <w:t xml:space="preserve"> </w:t>
      </w:r>
      <w:r>
        <w:t xml:space="preserve">DAI Tầng 2 (mức độ sử dụng thanh toán điện tử qua hạ tầng UPI) điều tiết mối quan hệ I–P một cách đáng kể hơn DAI Tầng 1.</w:t>
      </w:r>
    </w:p>
    <w:p>
      <w:pPr>
        <w:pStyle w:val="FirstParagraph"/>
      </w:pPr>
      <w:r>
        <w:t xml:space="preserve">H4b là một dự đoán có thể bác bỏ. Nếu UPI với tư cách hạ tầng công thay thế cho năng lực số mà các nhà xuất khẩu tư nhân nếu không thì phải tự xây dựng, thì Tầng 2 nên tạo ra một điều tiết dương mạnh hơn Tầng 1. Một tương tác Tầng 2 âm hoặc bằng không sẽ bác bỏ luận điểm thay thế. Điều này sẽ chỉ về một diễn giải bổ sung, cụ thể là hạ tầng nội địa bằng đồng rupee công không thay thế cho hạ tầng tài chính xuyên biên giới (SWIFT, ngân hàng đại lý, tài trợ thương mại) mà các nhà xuất khẩu đặc biệt cần.</w:t>
      </w:r>
    </w:p>
    <w:bookmarkEnd w:id="30"/>
    <w:bookmarkStart w:id="31" w:name="X8a92490dda13545d4b9b0f28bef19d74175128b"/>
    <w:p>
      <w:pPr>
        <w:pStyle w:val="Heading3"/>
      </w:pPr>
      <w:r>
        <w:t xml:space="preserve">2.5 Mô hình khái niệm</w:t>
      </w:r>
    </w:p>
    <w:p>
      <w:pPr>
        <w:pStyle w:val="FirstParagraph"/>
      </w:pPr>
      <w:r>
        <w:t xml:space="preserve">Mô hình khái niệm tích hợp H1 đến H4b được tóm tắt trong Hình 1. Điều kiện phạm vi thể chế tạo thành một khung bối cảnh bên ngoài quyết định liệu cơ sở hình chữ U ngược có duy trì (dưới ổn định) hay tan rã (dưới dịch chuyển). Trong khung này, năng lực công nghệ và năng lực số điều tiết mối quan hệ qua ba con đường khác biệt. Các biến kiểm soát (quy mô doanh nghiệp, tuổi, sở hữu nước ngoài và hiệu ứng cố định bang) điều kiện hóa ước lượng nhưng không phải là trọng tâm của mối quan tâm lý thuyết.</w:t>
      </w:r>
    </w:p>
    <w:p>
      <w:pPr>
        <w:pStyle w:val="BodyText"/>
      </w:pPr>
      <w:r>
        <w:rPr>
          <w:bCs/>
          <w:b/>
        </w:rPr>
        <w:t xml:space="preserve">[Chèn Hình 1 vào đây.]</w:t>
      </w:r>
    </w:p>
    <w:bookmarkEnd w:id="31"/>
    <w:bookmarkEnd w:id="32"/>
    <w:bookmarkStart w:id="38" w:name="X04a517dd5a14ea73a401e4e8e76b17647fe8cfb"/>
    <w:p>
      <w:pPr>
        <w:pStyle w:val="Heading2"/>
      </w:pPr>
      <w:r>
        <w:t xml:space="preserve">3. Dữ liệu và phương pháp</w:t>
      </w:r>
    </w:p>
    <w:bookmarkStart w:id="34" w:name="X84ced60e62ea90934832891098abf01a4d917e5"/>
    <w:p>
      <w:pPr>
        <w:pStyle w:val="Heading3"/>
      </w:pPr>
      <w:r>
        <w:t xml:space="preserve">3.1 Nguồn dữ liệu</w:t>
      </w:r>
    </w:p>
    <w:p>
      <w:pPr>
        <w:pStyle w:val="FirstParagraph"/>
      </w:pPr>
      <w:r>
        <w:t xml:space="preserve">Ba đợt WBES cho Ấn Độ được sử dụng. Đợt 2014 sử dụng lược đồ chuẩn hóa PICS3 với N_thô = 9.281 doanh nghiệp và một mẫu phân tích gồm 8.941 doanh nghiệp sau khi loại bỏ theo dòng trên các biến trọng tâm và xác thực tuổi doanh nghiệp. Đợt 2022 sử dụng lược đồ trung gian BEE với N_thô = 9.376 và một mẫu phân tích gồm 9.300. Đợt 2025 sử dụng lược đồ BREADY với N_thô = 10.479 và một mẫu phân tích gồm 10.476. N thô gộp là 29.136 quan sát doanh nghiệp-năm; N phân tích gộp là 28.717.</w:t>
      </w:r>
    </w:p>
    <w:p>
      <w:pPr>
        <w:pStyle w:val="BodyText"/>
      </w:pPr>
      <w:r>
        <w:t xml:space="preserve">Dữ liệu vi mô WBES có sẵn công khai tại</w:t>
      </w:r>
      <w:r>
        <w:t xml:space="preserve"> </w:t>
      </w:r>
      <w:hyperlink r:id="rId33">
        <w:r>
          <w:rPr>
            <w:rStyle w:val="Hyperlink"/>
          </w:rPr>
          <w:t xml:space="preserve">https://www.enterprisesurveys.org</w:t>
        </w:r>
      </w:hyperlink>
      <w:r>
        <w:t xml:space="preserve"> </w:t>
      </w:r>
      <w:r>
        <w:t xml:space="preserve">tùy thuộc vào đăng ký với Ngân hàng Thế giới.</w:t>
      </w:r>
    </w:p>
    <w:bookmarkEnd w:id="34"/>
    <w:bookmarkStart w:id="35" w:name="X4ccc2fb137c87b79d1e71cbfea6dc6e4b23640a"/>
    <w:p>
      <w:pPr>
        <w:pStyle w:val="Heading3"/>
      </w:pPr>
      <w:r>
        <w:t xml:space="preserve">3.2 Biến số</w:t>
      </w:r>
    </w:p>
    <w:p>
      <w:pPr>
        <w:pStyle w:val="FirstParagraph"/>
      </w:pPr>
      <w:r>
        <w:t xml:space="preserve">[Xem</w:t>
      </w:r>
      <w:r>
        <w:t xml:space="preserve"> </w:t>
      </w:r>
      <w:r>
        <w:rPr>
          <w:rStyle w:val="VerbatimChar"/>
        </w:rPr>
        <w:t xml:space="preserve">replication/do/01_build_india.do</w:t>
      </w:r>
      <w:r>
        <w:t xml:space="preserve"> </w:t>
      </w:r>
      <w:r>
        <w:t xml:space="preserve">để biết cách xây dựng chính xác.]</w:t>
      </w:r>
    </w:p>
    <w:bookmarkEnd w:id="35"/>
    <w:bookmarkStart w:id="36" w:name="Xc0e5f42dc2b81f7c673d6eae718ca304cc8b78a"/>
    <w:p>
      <w:pPr>
        <w:pStyle w:val="Heading3"/>
      </w:pPr>
      <w:r>
        <w:t xml:space="preserve">3.3 Hài hòa lược đồ qua ba thế hệ WBES</w:t>
      </w:r>
    </w:p>
    <w:p>
      <w:pPr>
        <w:pStyle w:val="FirstParagraph"/>
      </w:pPr>
      <w:r>
        <w:t xml:space="preserve">Các công cụ PICS3 (2014), BEE trung gian (2022) và BREADY (2025) khác nhau ở bốn khía cạnh. Đối với biến doanh thu, PICS3 dùng</w:t>
      </w:r>
      <w:r>
        <w:t xml:space="preserve"> </w:t>
      </w:r>
      <w:r>
        <w:rPr>
          <w:rStyle w:val="VerbatimChar"/>
        </w:rPr>
        <w:t xml:space="preserve">d2</w:t>
      </w:r>
      <w:r>
        <w:t xml:space="preserve"> </w:t>
      </w:r>
      <w:r>
        <w:t xml:space="preserve">trong khi BREADY bổ sung</w:t>
      </w:r>
      <w:r>
        <w:t xml:space="preserve"> </w:t>
      </w:r>
      <w:r>
        <w:rPr>
          <w:rStyle w:val="VerbatimChar"/>
        </w:rPr>
        <w:t xml:space="preserve">n3</w:t>
      </w:r>
      <w:r>
        <w:t xml:space="preserve">; tệp do hài hòa về</w:t>
      </w:r>
      <w:r>
        <w:t xml:space="preserve"> </w:t>
      </w:r>
      <w:r>
        <w:rPr>
          <w:rStyle w:val="VerbatimChar"/>
        </w:rPr>
        <w:t xml:space="preserve">d2</w:t>
      </w:r>
      <w:r>
        <w:t xml:space="preserve"> </w:t>
      </w:r>
      <w:r>
        <w:t xml:space="preserve">khi có sẵn. Đối với mã ngành ISIC, năm 2014 dùng</w:t>
      </w:r>
      <w:r>
        <w:t xml:space="preserve"> </w:t>
      </w:r>
      <w:r>
        <w:rPr>
          <w:rStyle w:val="VerbatimChar"/>
        </w:rPr>
        <w:t xml:space="preserve">a4a</w:t>
      </w:r>
      <w:r>
        <w:t xml:space="preserve"> </w:t>
      </w:r>
      <w:r>
        <w:t xml:space="preserve">(mã cũ) trong khi 2022 và 2025 bổ sung</w:t>
      </w:r>
      <w:r>
        <w:t xml:space="preserve"> </w:t>
      </w:r>
      <w:r>
        <w:rPr>
          <w:rStyle w:val="VerbatimChar"/>
        </w:rPr>
        <w:t xml:space="preserve">d1a2_v4</w:t>
      </w:r>
      <w:r>
        <w:t xml:space="preserve"> </w:t>
      </w:r>
      <w:r>
        <w:t xml:space="preserve">(ISIC Rev 4). Đối với DAI Tầng 2, chỉ lược đồ 2025 BREADY bao gồm</w:t>
      </w:r>
      <w:r>
        <w:t xml:space="preserve"> </w:t>
      </w:r>
      <w:r>
        <w:rPr>
          <w:rStyle w:val="VerbatimChar"/>
        </w:rPr>
        <w:t xml:space="preserve">k33</w:t>
      </w:r>
      <w:r>
        <w:t xml:space="preserve"> </w:t>
      </w:r>
      <w:r>
        <w:t xml:space="preserve">(% doanh thu từ thanh toán điện tử), nên kiểm định DAI ba đợt được giới hạn vào Tầng 1 (website) và kiểm định Tầng 2 chỉ-có-ở-2025 mang tính khám phá. Đối với các mã khuyết, PICS3 dùng</w:t>
      </w:r>
      <w:r>
        <w:t xml:space="preserve"> </w:t>
      </w:r>
      <w:r>
        <w:rPr>
          <w:rStyle w:val="VerbatimChar"/>
        </w:rPr>
        <w:t xml:space="preserve">-9</w:t>
      </w:r>
      <w:r>
        <w:t xml:space="preserve"> </w:t>
      </w:r>
      <w:r>
        <w:t xml:space="preserve">(không biết) và</w:t>
      </w:r>
      <w:r>
        <w:t xml:space="preserve"> </w:t>
      </w:r>
      <w:r>
        <w:rPr>
          <w:rStyle w:val="VerbatimChar"/>
        </w:rPr>
        <w:t xml:space="preserve">-7</w:t>
      </w:r>
      <w:r>
        <w:t xml:space="preserve"> </w:t>
      </w:r>
      <w:r>
        <w:t xml:space="preserve">(không áp dụng), trong khi BEE và BREADY bổ sung</w:t>
      </w:r>
      <w:r>
        <w:t xml:space="preserve"> </w:t>
      </w:r>
      <w:r>
        <w:rPr>
          <w:rStyle w:val="VerbatimChar"/>
        </w:rPr>
        <w:t xml:space="preserve">-8</w:t>
      </w:r>
      <w:r>
        <w:t xml:space="preserve"> </w:t>
      </w:r>
      <w:r>
        <w:t xml:space="preserve">(từ chối). Tất cả mã âm được mã hóa lại thành khuyết trong Stata.</w:t>
      </w:r>
    </w:p>
    <w:bookmarkEnd w:id="36"/>
    <w:bookmarkStart w:id="37" w:name="X0afc50b77f3b35a9e2f53d772df3588479ffd59"/>
    <w:p>
      <w:pPr>
        <w:pStyle w:val="Heading3"/>
      </w:pPr>
      <w:r>
        <w:t xml:space="preserve">3.4 Chiến lược ước lượng</w:t>
      </w:r>
    </w:p>
    <w:p>
      <w:pPr>
        <w:pStyle w:val="FirstParagraph"/>
      </w:pPr>
      <w:r>
        <w:t xml:space="preserve">OLS theo từng đợt với sai số chuẩn vững HC1:</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Kiểm định U Lind–Mehlum (Lind &amp; Mehlum, 2010) xác minh hình chữ U ngược: bác bỏ H₀ "đơn điệu hoặc chữ U" khi và chỉ khi (i) β₁ + 2β₂·FSTS_min &gt; 0; (ii) β₁ + 2β₂·FSTS_max &lt; 0; (iii) β₂ &lt; 0.</w:t>
      </w:r>
    </w:p>
    <w:p>
      <w:pPr>
        <w:pStyle w:val="BodyText"/>
      </w:pPr>
      <w:r>
        <w:t xml:space="preserve">Điểm ngưỡng: TP = −β₁ / (2β₂); KTC 95% qua phương pháp delta sử dụng</w:t>
      </w:r>
      <w:r>
        <w:t xml:space="preserve"> </w:t>
      </w:r>
      <w:r>
        <w:rPr>
          <w:rStyle w:val="VerbatimChar"/>
        </w:rPr>
        <w:t xml:space="preserve">nlcom</w:t>
      </w:r>
      <w:r>
        <w:t xml:space="preserve"> </w:t>
      </w:r>
      <w:r>
        <w:t xml:space="preserve">sau ước lượng.</w:t>
      </w:r>
    </w:p>
    <w:p>
      <w:pPr>
        <w:pStyle w:val="BodyText"/>
      </w:pPr>
      <w:r>
        <w:t xml:space="preserve">Kiểm định z Paternoster xuyên đợt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Kiểm định F đồng thời trên các tương tác xuyên đợt trong mô hình gộp cung cấp một kiểm định thay thế đa hệ số. Sai số chuẩn được báo cáo theo hai đặc tả: HC1 (Eicker–Huber–White) vững theo phương sai sai số không đồng nhất làm đặc tả chính, và vững theo cụm ở cấp bang (Vùng Lấy mẫu WBES, ~24 cụm mỗi đợt) làm đặc tả kiểm định vững. Với số cụm trong khoảng 20–30, lý lẽ tiệm cận cho suy luận vững theo cụm ở ranh giới (Cameron et al., 2008); tự khởi tạo cụm hoang dã (MacKinnon and Webb, 2017) được ghi nhận như một thay thế chặt chẽ hơn phù hợp khi chỉnh sửa.</w:t>
      </w:r>
    </w:p>
    <w:bookmarkEnd w:id="37"/>
    <w:bookmarkEnd w:id="38"/>
    <w:bookmarkStart w:id="45" w:name="Xc1528237297c4ce8999628372a6b48494fd6214"/>
    <w:p>
      <w:pPr>
        <w:pStyle w:val="Heading2"/>
      </w:pPr>
      <w:r>
        <w:t xml:space="preserve">4. Kết quả</w:t>
      </w:r>
    </w:p>
    <w:bookmarkStart w:id="39" w:name="Xc951dcce2c5c6672eadc5b901b983504017f146"/>
    <w:p>
      <w:pPr>
        <w:pStyle w:val="Heading3"/>
      </w:pPr>
      <w:r>
        <w:t xml:space="preserve">4.1 Thống kê mô tả</w:t>
      </w:r>
    </w:p>
    <w:p>
      <w:pPr>
        <w:pStyle w:val="FirstParagraph"/>
      </w:pPr>
      <w:r>
        <w:t xml:space="preserve">Cỡ mẫu sau khi loại bỏ theo dòng trên các biến trọng tâm và xác thực tuổi doanh nghiệp (giới hạn ở [0, 150]): 2014 N = 8.941; 2022 N = 9.300; 2025 N = 10.476. Cường độ xuất khẩu trung bình giảm từ 7,2 % (2014) xuống 8,0 % (2022) xuống 2,7 % (2025), nhất quán với sự chuyển hướng vào trong hậu 2020 của Ấn Độ dưới Atmanirbhar Bharat. Mức năng suất tăng: ln LP trung bình = 13,93 (2014), 14,37 (2022), 15,01 (2025). DAI Tầng 1 (áp dụng website) là 52,7 % vào năm 2014, 60,6 % vào năm 2022, nhưng giảm xuống 41,8 % vào năm 2025, gợi ý rằng website trở nên ít trọng tâm hơn khi UPI hấp thụ tương tác số hướng-tới-khách-hàng. DAI Tầng 2 (tỷ phần thanh toán điện tử), chỉ đo vào năm 2025, trung bình 65,8 phần trăm. Mức độ sử dụng thanh toán điện tử này phản ánh sự bão hòa UPI. Thống kê mô tả đầy đủ được báo cáo trong Bảng 1.</w:t>
      </w:r>
    </w:p>
    <w:p>
      <w:pPr>
        <w:pStyle w:val="BodyText"/>
      </w:pPr>
      <w:r>
        <w:rPr>
          <w:bCs/>
          <w:b/>
        </w:rPr>
        <w:t xml:space="preserve">[Chèn Bảng 1 vào đây.]</w:t>
      </w:r>
    </w:p>
    <w:bookmarkEnd w:id="39"/>
    <w:bookmarkStart w:id="40" w:name="X3bf63d20a4a83a438fbcc799943df96fcd29af6"/>
    <w:p>
      <w:pPr>
        <w:pStyle w:val="Heading3"/>
      </w:pPr>
      <w:r>
        <w:t xml:space="preserve">4.2 Ước lượng hình chữ U ngược theo từng đợt</w:t>
      </w:r>
    </w:p>
    <w:p>
      <w:pPr>
        <w:pStyle w:val="FirstParagraph"/>
      </w:pPr>
      <w:r>
        <w:rPr>
          <w:bCs/>
          <w:b/>
        </w:rPr>
        <w:t xml:space="preserve">2014 (tiền-thập-kỷ-cải-cách).</w:t>
      </w:r>
      <w:r>
        <w:t xml:space="preserve"> </w:t>
      </w:r>
      <w:r>
        <w:t xml:space="preserve">Hình chữ U ngược cổ điển duy trì:</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với cả hai số hạng bậc hai có ý nghĩa cao (p &lt; 0,0001). Kiểm định U Lind–Mehlum p đồng thời &lt; 0,0001 xác nhận hình chữ U ngược. Điểm ngưỡng phương pháp delta TP = 61,8 phần trăm (KTC 95 phần trăm: 55,0; 68,6). Điều này đặt đỉnh năng suất ở cường độ xuất khẩu rất cao, đặc trưng cho bối cảnh thị trường mới nổi nơi các nhà xuất khẩu rút ra lợi tức học hỏi qua xuất khẩu đáng kể trước khi chi phí mở rộng quá mức ràng buộc.</w:t>
      </w:r>
    </w:p>
    <w:p>
      <w:pPr>
        <w:pStyle w:val="BodyText"/>
      </w:pPr>
      <w:r>
        <w:rPr>
          <w:bCs/>
          <w:b/>
        </w:rPr>
        <w:t xml:space="preserve">2022 (hậu-COVID, hậu-GST, hậu-IBC).</w:t>
      </w:r>
      <w:r>
        <w:t xml:space="preserve"> </w:t>
      </w:r>
      <w:r>
        <w:t xml:space="preserve">Hình chữ U ngược vẫn duy trì nhưng điểm ngưỡng di chuyển đáng kể vào trong:</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Kiểm định U Lind–Mehlum p đồng thời &lt; 0,0001. TP = 40,7 phần trăm (KTC 95 phần trăm: 38,0; 43,5). Sự di chuyển vào trong 21 điểm phần trăm của điểm ngưỡng giữa 2014 và 2022 báo hiệu thay đổi cấu trúc tiệm tiến trong hàm sản xuất cấp doanh nghiệp cơ sở. Giai đoạn này chứa thu hồi tiền mặt, triển khai GST, giới thiệu IBC, COVID-19 và sự chuyển dịch của UPI từ ra mắt sang áp dụng đại trà.</w:t>
      </w:r>
    </w:p>
    <w:p>
      <w:pPr>
        <w:pStyle w:val="BodyText"/>
      </w:pPr>
      <w:r>
        <w:rPr>
          <w:bCs/>
          <w:b/>
        </w:rPr>
        <w:t xml:space="preserve">2025 (hậu-PLI trưởng thành, UPI-bão-hòa, Atmanirbhar Bharat).</w:t>
      </w:r>
      <w:r>
        <w:t xml:space="preserve"> </w:t>
      </w:r>
      <w:r>
        <w:t xml:space="preserve">Số hạng độ cong mất ý nghĩa thống kê:</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Hệ số bậc hai β₂ không còn phân biệt được về mặt thống kê với không (p = 0,42). Kiểm định U Lind–Mehlum p đồng thời = 0,99 không ủng hộ hình chữ U ngược. Mối quan hệ đã trở thành đơn điệu âm trên toàn dải FSTS liên quan thực nghiệm. Độ dốc tại FSTS_min là −0,36 (p = 0,02) và tại FSTS_max là −0,68 (p = 0,005). Ước lượng M2 theo từng đợt được báo cáo trong Bảng 2. Ba đường cong dự báo theo từng đợt được trực quan hóa trong Hình 2.</w:t>
      </w:r>
    </w:p>
    <w:p>
      <w:pPr>
        <w:pStyle w:val="BodyText"/>
      </w:pPr>
      <w:r>
        <w:rPr>
          <w:bCs/>
          <w:b/>
        </w:rPr>
        <w:t xml:space="preserve">[Chèn Bảng 2 và Hình 2 vào đây.]</w:t>
      </w:r>
    </w:p>
    <w:bookmarkEnd w:id="40"/>
    <w:bookmarkStart w:id="41" w:name="Xa322042f04f40ffe95561163aa8e0e468cf3438"/>
    <w:p>
      <w:pPr>
        <w:pStyle w:val="Heading3"/>
      </w:pPr>
      <w:r>
        <w:t xml:space="preserve">4.3 Kiểm định z Paternoster xuyên đợt (H2a so với H2b)</w:t>
      </w:r>
    </w:p>
    <w:p>
      <w:pPr>
        <w:pStyle w:val="FirstParagraph"/>
      </w:pPr>
      <w:r>
        <w:t xml:space="preserve">Kiểm định z Paternoster (1998) cho sự bằng nhau của hệ số giữa 2014 và 2025 cho kết quả sau theo cả sai số chuẩn vững theo phương sai sai số không đồng nhất (HC1) và theo cụm bang (Cameron et al., 2008):</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Số hạng</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z_cụm</w:t>
            </w:r>
          </w:p>
        </w:tc>
        <w:tc>
          <w:tcPr/>
          <w:p>
            <w:pPr>
              <w:pStyle w:val="Compact"/>
              <w:jc w:val="right"/>
            </w:pPr>
            <w:r>
              <w:t xml:space="preserve">p_cụm</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Đặc tả vững theo cụm sử dụng bang (Vùng Lấy mẫu WBES; ~24 cụm mỗi đợt) làm đơn vị cụm, xử lý tương quan trong-bang được ghi nhận rõ trong dữ liệu cấp doanh nghiệp Ấn Độ (Burgess and Pande, 2005; Chodorow-Reich et al., 2020). Cả hai đặc tả sai số chuẩn đều bác bỏ sự bằng nhau của hệ số ở các mức ý nghĩa thông thường.</w:t>
      </w:r>
      <w:r>
        <w:t xml:space="preserve"> </w:t>
      </w:r>
      <w:r>
        <w:rPr>
          <w:bCs/>
          <w:b/>
        </w:rPr>
        <w:t xml:space="preserve">H2b (độ bền) bị bác bỏ</w:t>
      </w:r>
      <w:r>
        <w:t xml:space="preserve">;</w:t>
      </w:r>
      <w:r>
        <w:t xml:space="preserve"> </w:t>
      </w:r>
      <w:r>
        <w:rPr>
          <w:bCs/>
          <w:b/>
        </w:rPr>
        <w:t xml:space="preserve">H2a (dịch chuyển thể chế) được ủng hộ</w:t>
      </w:r>
      <w:r>
        <w:t xml:space="preserve">. Độ lớn hiệu ứng không đổi qua các đặc tả; ý nghĩa thống kê suy giảm dưới gom cụm nhưng vẫn quyết định về mặt thực chất. Hình 3 trực quan hóa các ước lượng điểm ngưỡng với khoảng tin cậy 95 % theo phương pháp delta cho các đợt 2014 và 2022 và sự sụp đổ năm 2025.</w:t>
      </w:r>
    </w:p>
    <w:p>
      <w:pPr>
        <w:pStyle w:val="BodyText"/>
      </w:pPr>
      <w:r>
        <w:rPr>
          <w:bCs/>
          <w:b/>
        </w:rPr>
        <w:t xml:space="preserve">[Chèn Hình 3 vào đây.]</w:t>
      </w:r>
    </w:p>
    <w:bookmarkEnd w:id="41"/>
    <w:bookmarkStart w:id="42" w:name="X7ab521b2547d2b506dd4ec3b668fb44b5357692"/>
    <w:p>
      <w:pPr>
        <w:pStyle w:val="Heading3"/>
      </w:pPr>
      <w:r>
        <w:t xml:space="preserve">4.4 Kiểm định vững gộp ba đợt</w:t>
      </w:r>
    </w:p>
    <w:p>
      <w:pPr>
        <w:pStyle w:val="FirstParagraph"/>
      </w:pPr>
      <w:r>
        <w:t xml:space="preserve">Mô hình gộp ba đợt với biến giả đợt (N = 28.717, R²_hiệu chỉnh = 0,197) cho kết quả sau. Hệ số Wave_2022 là +0,46 (p &lt; 0,0001), cho thấy mức năng suất tăng. Hệ số Wave_2025 là +1,12 (p &lt; 0,0001), cho thấy mức tăng tăng tốc. Tương tác FSTS × wave_2022 là +0,45 (p = 0,15), không cho thấy dịch chuyển vững chắc so với cơ sở 2014. Tương tác FSTS × wave_2025 là −1,63 (p &lt; 0,0001), xác nhận sự sụp đổ độ dốc năm 2025. Tương tác FSTS² × wave_2022 là −1,09 (p = 0,001), xác nhận sự di chuyển điểm ngưỡng năm 2022 qua việc dốc hóa độ cong. Tương tác FSTS² × wave_2025 là +0,86 (p = 0,007), xác nhận sự làm phẳng độ cong năm 2025. Đặc tả xu hướng tuyến tính cho FSTS × trend = −0,10 (p &lt; 0,001), xác nhận sự dịch chuyển cấu trúc tiệm tiến.</w:t>
      </w:r>
    </w:p>
    <w:bookmarkEnd w:id="42"/>
    <w:bookmarkStart w:id="43" w:name="X95b84809c812325e51320e1e9cd47beb745e901"/>
    <w:p>
      <w:pPr>
        <w:pStyle w:val="Heading3"/>
      </w:pPr>
      <w:r>
        <w:t xml:space="preserve">4.5 Các biến điều tiết năng lực (H3, H4a, H4b)</w:t>
      </w:r>
    </w:p>
    <w:p>
      <w:pPr>
        <w:pStyle w:val="FirstParagraph"/>
      </w:pPr>
      <w:r>
        <w:rPr>
          <w:bCs/>
          <w:b/>
        </w:rPr>
        <w:t xml:space="preserve">Đảo dấu TCI (năng lực công nghệ).</w:t>
      </w:r>
      <w:r>
        <w:t xml:space="preserve"> </w:t>
      </w:r>
      <w:r>
        <w:t xml:space="preserve">Vào năm 2014 và 2022, TCI vận hành như một yếu tố dịch chuyển mức dương (β = +0,12, p &lt; 0,0001 vào năm 2014; β = +0,19, p &lt; 0,0001 vào năm 2022) không có tương tác FSTS có ý nghĩa. Vào năm 2025, TCI đảo sang hiệu ứng chính âm (β = −0,08, p &lt; 0,0001) nhưng với tương tác FSTS dương có ý nghĩa (FSTS × TCI = +0,20, p = 0,03). Mô hình này gợi ý rằng trong bối cảnh năm 2025, TCI mang lại lợi tức năng suất chỉ ở cường độ xuất khẩu cao.</w:t>
      </w:r>
    </w:p>
    <w:p>
      <w:pPr>
        <w:pStyle w:val="BodyText"/>
      </w:pPr>
      <w:r>
        <w:rPr>
          <w:bCs/>
          <w:b/>
        </w:rPr>
        <w:t xml:space="preserve">DAI Tầng 1 (biến nhị phân website).</w:t>
      </w:r>
      <w:r>
        <w:t xml:space="preserve"> </w:t>
      </w:r>
      <w:r>
        <w:t xml:space="preserve">Hiệu ứng chính dương có ý nghĩa ở cả ba đợt (β ≈ +0,38 đến +0,39). Tương tác FSTS × DAI_core không có ý nghĩa vào năm 2014, trở nên dương có ý nghĩa vào năm 2022 (FSTS × DAI = +1,43, p = 0,02), và mất ý nghĩa vào năm 2025. Điều này nhất quán với vai trò biên giảm dần của website khi UPI hấp thụ tương tác số hướng-tới-khách-hàng.</w:t>
      </w:r>
    </w:p>
    <w:p>
      <w:pPr>
        <w:pStyle w:val="BodyText"/>
      </w:pPr>
      <w:r>
        <w:rPr>
          <w:bCs/>
          <w:b/>
        </w:rPr>
        <w:t xml:space="preserve">DAI Tầng 2 (thanh toán điện tử, chỉ năm 2025, thử nghiệm tựa tự nhiên UPI).</w:t>
      </w:r>
      <w:r>
        <w:t xml:space="preserve"> </w:t>
      </w:r>
      <w:r>
        <w:t xml:space="preserve">Tương tác mang dấu âm (FSTS × DAI_epay = −4,02, p = 0,004; FSTS² × DAI_epay = +3,39, p = 0,10). Ở các doanh nghiệp có mức áp dụng thanh toán điện tử UPI cao, năng suất giảm dốc hơn theo cường độ xuất khẩu. H4b (Tầng 2 lấn át Tầng 1) bị bác bỏ. Hạ tầng công UPI không thay thế cho hạ tầng tài chính xuyên biên giới mà các nhà xuất khẩu cần. Các đường ray UPI định danh bằng đồng rupee và định hướng nội địa. Các nhà xuất khẩu cần SWIFT, ngân hàng đại lý và các công cụ tài trợ thương mại. Các lớp hạ tầng khác biệt này không được trợ cấp bởi hệ thống hạ tầng số công nội địa của Ấn Độ. Toàn bộ ước lượng điều tiết theo năng lực được báo cáo trong Bảng 4. Mối quan hệ thời gian giữa việc triển khai UPI và các đợt khảo sát WBES được trực quan hóa trong Hình 4.</w:t>
      </w:r>
    </w:p>
    <w:p>
      <w:pPr>
        <w:pStyle w:val="BodyText"/>
      </w:pPr>
      <w:r>
        <w:rPr>
          <w:bCs/>
          <w:b/>
        </w:rPr>
        <w:t xml:space="preserve">[Chèn Bảng 4 và Hình 4 vào đây.]</w:t>
      </w:r>
    </w:p>
    <w:bookmarkEnd w:id="43"/>
    <w:bookmarkStart w:id="44" w:name="Xed3b3362c25fdc23216d53b9f0c5e3a8e8c8f35"/>
    <w:p>
      <w:pPr>
        <w:pStyle w:val="Heading3"/>
      </w:pPr>
      <w:r>
        <w:t xml:space="preserve">4.6 Kiểm định vững</w:t>
      </w:r>
    </w:p>
    <w:p>
      <w:pPr>
        <w:pStyle w:val="FirstParagraph"/>
      </w:pPr>
      <w:r>
        <w:t xml:space="preserve">Đặc tả M2 được tái ước lượng trên năm mẫu con thay thế và một biến phụ thuộc thay thế. Các đặc tả này đánh giá liệu các phát hiện xuyên đợt chính (H1 được ủng hộ vào năm 2014 và 2022; H1 không được ủng hộ vào năm 2025; H2a được ủng hộ qua 2014 và 2025) có vững trước thành phần mẫu và lựa chọn đo lường hay không.</w:t>
      </w:r>
    </w:p>
    <w:p>
      <w:pPr>
        <w:pStyle w:val="BodyText"/>
      </w:pPr>
      <w:r>
        <w:rPr>
          <w:bCs/>
          <w:b/>
        </w:rPr>
        <w:t xml:space="preserve">(R1) Mẫu con chỉ-chế-tạo.</w:t>
      </w:r>
      <w:r>
        <w:t xml:space="preserve"> </w:t>
      </w:r>
      <w:r>
        <w:t xml:space="preserve">Giới hạn vào các doanh nghiệp chế tạo (mã ISIC Rev 3.1 15–37 cho 2014 PICS3; mã ISIC Rev 4 10–33 cho 2022 BEE và 2025 BREADY) cho N = 6.974 (2014), 5.366 (2022), 5.706 (2025). Mô hình theo từng đợt mạnh lên đôi chút: điểm ngưỡng 2014 tại 57,5 % (so với 61,8 % cơ sở), điểm ngưỡng 2022 tại 41,3 % (so với 40,7 %), số hạng độ cong 2025 không có ý nghĩa (β₂ = −0,46, p = 0,017 HC1; kiểm định đồng thời Lind–Mehlum bác bỏ hình chữ U ngược). Các kiểm định z Paternoster xuyên đợt trên mẫu con chế tạo cho FSTS z = −6,89 (p &lt; 0,0001) và FSTS² z = +3,64 (p = 0,0003), với độ lớn hiệu ứng nằm trong khoảng 12 % của ước lượng mẫu đầy đủ. Phát hiện về sự sụp đổ ngưỡng không phải là sản phẩm phụ của thành phần doanh nghiệp dịch vụ.</w:t>
      </w:r>
    </w:p>
    <w:p>
      <w:pPr>
        <w:pStyle w:val="BodyText"/>
      </w:pPr>
      <w:r>
        <w:rPr>
          <w:bCs/>
          <w:b/>
        </w:rPr>
        <w:t xml:space="preserve">(R2) FSTS được cắt tỉa (FSTS ≤ 0,95).</w:t>
      </w:r>
      <w:r>
        <w:t xml:space="preserve"> </w:t>
      </w:r>
      <w:r>
        <w:t xml:space="preserve">Loại bỏ các doanh nghiệp có cường độ xuất khẩu trên 95 % (N = 8.666, 8.937, 10.436 qua các đợt) cho các điểm ngưỡng 48,7 % (2014), 39,7 % (2022), và không xác định (2025) với số hạng bậc hai 2025 vẫn không có ý nghĩa (β₂ = −0,30, p = 0,37). Loại bỏ các nhà xuất khẩu cực đoan giảm điểm ngưỡng 2014 khoảng 13 điểm phần trăm (nhất quán với việc các nhà xuất khẩu cực đoan kéo dài đuôi phải của đường cong) nhưng mô hình dịch chuyển xuyên đợt được bảo toàn.</w:t>
      </w:r>
    </w:p>
    <w:p>
      <w:pPr>
        <w:pStyle w:val="BodyText"/>
      </w:pPr>
      <w:r>
        <w:rPr>
          <w:bCs/>
          <w:b/>
        </w:rPr>
        <w:t xml:space="preserve">(R3a) Mẫu con SME (số lao động &lt; 100).</w:t>
      </w:r>
      <w:r>
        <w:t xml:space="preserve"> </w:t>
      </w:r>
      <w:r>
        <w:t xml:space="preserve">Ở các doanh nghiệp nhỏ hơn (N = 6.844, 6.497, 7.383 qua các đợt), hình chữ U ngược 2014 không được ủng hộ (β₂ = −0,07, p = 0,84; Lind–Mehlum thất bại). Hình chữ U ngược 2022 duy trì vững chắc (β₂ = −1,64, p &lt; 0,0001; TP = 41,2 phần trăm). Bậc hai 2025 không có ý nghĩa. Mô hình cho thấy hình chữ U ngược 2014 do các doanh nghiệp Ấn Độ lớn hơn dẫn dắt. Hình chữ U ngược mở rộng tới phân khúc SME chỉ vào năm 2022. Điều này nhất quán với sự mở rộng được ghi nhận về tham gia xuất khẩu của SME sau khi mở rộng chính sách xúc tiến xuất khẩu 2014 đến 2020. Đến năm 2025, mối quan hệ đã sụp đổ cho cả hai phân khúc.</w:t>
      </w:r>
    </w:p>
    <w:p>
      <w:pPr>
        <w:pStyle w:val="BodyText"/>
      </w:pPr>
      <w:r>
        <w:rPr>
          <w:bCs/>
          <w:b/>
        </w:rPr>
        <w:t xml:space="preserve">(R3b) Mẫu con doanh nghiệp lớn (số lao động ≥ 100).</w:t>
      </w:r>
      <w:r>
        <w:t xml:space="preserve"> </w:t>
      </w:r>
      <w:r>
        <w:t xml:space="preserve">Ở các doanh nghiệp lớn hơn (N = 2.097, 2.803, 3.093 qua các đợt), hình chữ U ngược duy trì vào năm 2014 (TP = 50,2 %) và 2022 (TP = 40,8 %) với độ cong rất lớn (β₂ giữa −2,4 và −3,0). Bậc hai 2025 đảo sang âm có ý nghĩa (β₂ = −0,55, p = 0,012) và điểm ngưỡng hàm ý xấp xỉ −3 %, nằm ngoài dải FSTS liên quan thực nghiệm. Lind–Mehlum vẫn không ủng hộ hình chữ U ngược vì hàm là đơn điệu âm trong toàn bộ [0, 1]. Bằng chứng doanh nghiệp lớn nhất quán với diễn giải về sự sụp đổ cơ sở.</w:t>
      </w:r>
    </w:p>
    <w:p>
      <w:pPr>
        <w:pStyle w:val="BodyText"/>
      </w:pPr>
      <w:r>
        <w:rPr>
          <w:bCs/>
          <w:b/>
        </w:rPr>
        <w:t xml:space="preserve">(R4) Biến phụ thuộc thay thế.</w:t>
      </w:r>
      <w:r>
        <w:t xml:space="preserve"> </w:t>
      </w:r>
      <w:r>
        <w:t xml:space="preserve">Thay ln(năng suất lao động) bằng năng suất lao động chuẩn hóa theo mức (doanh thu trên mỗi lao động, chuẩn hóa z trong cùng đợt để quản lý thang đo) cho TP = 54,4 % vào năm 2014 (với kiểm định đồng thời Lind–Mehlum ở ranh giới tại p = 0,048), TP = 41,5 % vào năm 2022 (hình chữ U ngược được ủng hộ), và độ cong sụp đổ vào năm 2025 (β₂ = +0,03, p = 0,90). Mô hình 2022 vững trước đặc tả mức-so-với-log; hình chữ U ngược 2014 yếu đi ở ranh giới; sự sụp đổ 2025 được bảo toàn.</w:t>
      </w:r>
    </w:p>
    <w:p>
      <w:pPr>
        <w:pStyle w:val="BodyText"/>
      </w:pPr>
      <w:r>
        <w:rPr>
          <w:bCs/>
          <w:b/>
        </w:rPr>
        <w:t xml:space="preserve">Tóm tắt qua các đặc tả kiểm định vững.</w:t>
      </w:r>
      <w:r>
        <w:t xml:space="preserve"> </w:t>
      </w:r>
      <w:r>
        <w:t xml:space="preserve">Trong năm đặc tả được áp dụng cho phát hiện về dịch chuyển xuyên đợt chính, bốn (R1, R2, R3b, R4) xác nhận mô hình định tính về sự hiện diện của hình chữ U ngược vào năm 2014 và 2022 với sự biến mất vào năm 2025. Đặc tả thứ năm (R3a) xác nhận sự hiện diện vào năm 2022 và sự biến mất vào năm 2025. R3a cũng cho thấy hình chữ U ngược 2014 tập trung ở các doanh nghiệp lớn hơn thay vì phổ quát qua các quy mô doanh nghiệp. Các kiểm định z Paternoster xuyên đợt vững trước việc lấy mẫu con chỉ-chế-tạo. Toàn bộ kết quả kiểm định vững được báo cáo trong Bảng 5.</w:t>
      </w:r>
    </w:p>
    <w:p>
      <w:pPr>
        <w:pStyle w:val="BodyText"/>
      </w:pPr>
      <w:r>
        <w:rPr>
          <w:bCs/>
          <w:b/>
        </w:rPr>
        <w:t xml:space="preserve">[Chèn Bảng 5 vào đây.]</w:t>
      </w:r>
    </w:p>
    <w:bookmarkEnd w:id="44"/>
    <w:bookmarkEnd w:id="45"/>
    <w:bookmarkStart w:id="52" w:name="X3923f9545aa9c992e02ccb4472a40e02686b4e2"/>
    <w:p>
      <w:pPr>
        <w:pStyle w:val="Heading2"/>
      </w:pPr>
      <w:r>
        <w:t xml:space="preserve">5. Thảo luận</w:t>
      </w:r>
    </w:p>
    <w:bookmarkStart w:id="46" w:name="X6dfe901312034636d23427a5373fe36c2313a3c"/>
    <w:p>
      <w:pPr>
        <w:pStyle w:val="Heading3"/>
      </w:pPr>
      <w:r>
        <w:t xml:space="preserve">5.1 Dịch chuyển, không phải độ bền: sự tan rã thể chế của hình chữ U ngược</w:t>
      </w:r>
    </w:p>
    <w:p>
      <w:pPr>
        <w:pStyle w:val="FirstParagraph"/>
      </w:pPr>
      <w:r>
        <w:t xml:space="preserve">Bằng chứng thực nghiệm ủng hộ dứt khoát H2a hơn H2b. Các kiểm định z Paternoster dưới sai số chuẩn HC1 bác bỏ sự bằng nhau của hệ số giữa 2014 và 2025 với lực cực mạnh (FSTS z = −7,94; FSTS² z = +4,17; cả hai p &lt; 0,0001). Dưới sai số chuẩn vững theo cụm bang thận trọng hơn (Cameron et al., 2008), sự bác bỏ vẫn có ý nghĩa (FSTS z = −3,50, p = 0,0005; FSTS² z = +2,19, p = 0,029). Điều này duy trì bất chấp cỡ mẫu hiệu dụng nhỏ hơn nhiều được hàm ý bởi khoảng 24 cụm bang. Kiểm định vững gộp ba đợt với biến giả đợt xác nhận FSTS × wave_2025 = −1,63 (p &lt; 0,0001 HC1) và FSTS² × wave_2025 = +0,86 (p = 0,007 HC1). Đặc tả xu hướng tuyến tính cho FSTS × trend = −0,10 (p &lt; 0,001). Điều này nhất quán với một sự tiến triển đơn điệu thay vì một sự đứt gãy đột ngột.</w:t>
      </w:r>
    </w:p>
    <w:p>
      <w:pPr>
        <w:pStyle w:val="BodyText"/>
      </w:pPr>
      <w:r>
        <w:t xml:space="preserve">Một mối quan ngại tự nhiên là liệu sự dịch chuyển biểu kiến có phải là sản phẩm phụ của lược đồ hay không. Đợt 2014 sử dụng công cụ WBES PICS3, đợt 2025 sử dụng công cụ BREADY mới, và hai công cụ không giống hệt nhau về cách diễn đạt câu hỏi hoặc thiết kế lấy mẫu. Đợt 2022 BEE trung gian cung cấp cầu nối then chốt. Nếu sự sụp đổ năm 2025 thuần túy là sản phẩm phụ của lược đồ, thì người ta sẽ kỳ vọng một sự gián đoạn giữa 2022 và 2025 (sự chuyển tiếp BEE-sang-BREADY), với 2014 và 2022 không phân biệt được. Dữ liệu cho thấy mô hình ngược lại. Điểm ngưỡng di chuyển đơn điệu vào trong từ 61,8 phần trăm vào năm 2014 xuống 40,7 phần trăm vào năm 2022, một sự dịch chuyển vào trong 21 điểm phần trăm qua cửa sổ thu hồi tiền mặt, GST và IBC với công cụ phái sinh từ PICS cơ sở. Mối quan hệ sau đó tan rã vào năm 2025. Hình chữ U ngược 2022 về mặt thống kê là mạnh nhất trong ba đợt (Lind–Mehlum p đồng thời &lt; 1e-12). Điều này không tương thích với giả thuyết rằng một thay đổi công cụ vào năm 2022 đã cơ học triệt tiêu độ cong. Dịch chuyển cấu trúc tiệm tiến phù hợp với dữ liệu. Sản phẩm phụ của công cụ thì không.</w:t>
      </w:r>
    </w:p>
    <w:p>
      <w:pPr>
        <w:pStyle w:val="BodyText"/>
      </w:pPr>
      <w:r>
        <w:t xml:space="preserve">Ba cơ chế có thể giải thích sự dịch chuyển. Thứ nhất, chính sách tự lực Atmanirbhar Bharat (2020) và việc triển khai chương trình PLI (từ 2020 trở đi) tái định hướng đầu tư chiến lược của doanh nghiệp về phía sản xuất nội địa. Điều này dịch chuyển doanh nghiệp khỏi định hướng xuất khẩu mà môi trường thể chế năm 2014 tưởng thưởng. Thứ hai, gián đoạn chuỗi cung ứng COVID-19 (2020 đến 2022) làm thay đổi chi phí biên của hoạt động xuyên biên giới, có thể là vĩnh viễn. Điều này làm tăng chi phí mở rộng quá mức mà các nhà xuất khẩu Ấn Độ đối mặt. Thứ ba, môi trường thương mại toàn cầu năm 2025 đặc trưng bởi tái định cư sản xuất (re-shoring), định cư-bằng-hữu (friend-shoring) và sự bất định chính sách xuyên biên giới gia tăng. Các yếu tố này có thể đã dịch chuyển quy mô quốc tế hóa tối ưu xuống thấp hơn qua tất cả các nhà xuất khẩu, làm phẳng sự cân bằng chi phí-lợi ích trước đây tạo ra hình chữ U ngược.</w:t>
      </w:r>
    </w:p>
    <w:p>
      <w:pPr>
        <w:pStyle w:val="BodyText"/>
      </w:pPr>
      <w:r>
        <w:t xml:space="preserve">Năm đặc tả kiểm định vững báo cáo trong Mục 4.6 củng cố diễn giải cấu trúc. Mẫu con chỉ-chế-tạo xác nhận sự dịch chuyển xuyên đợt với các kiểm định z Paternoster nằm trong khoảng 12 phần trăm độ lớn mẫu đầy đủ. Điều này loại trừ thành phần doanh nghiệp dịch vụ như một yếu tố dẫn dắt. Đặc tả FSTS-được-cắt-tỉa loại trừ ảnh hưởng của nhà xuất khẩu cực đoan. Phân tích mẫu con theo quy mô hé lộ một sắc thái tinh tế hơn. Hình chữ U ngược 2014 tập trung ở các doanh nghiệp lớn hơn (số lao động ≥ 100). Mô hình mở rộng tới các doanh nghiệp nhỏ hơn chỉ vào năm 2022 trước khi sụp đổ cho cả hai phân khúc vào năm 2025. Mô hình này nhất quán với sự mở rộng được ghi nhận về tham gia xuất khẩu của SME dưới sự mở rộng chính sách xúc tiến xuất khẩu 2014 đến 2020, theo sau là sự đảo ngược hậu 2020 của nó dưới Atmanirbhar Bharat. Mô hình này không nhất quán với một sự sụp đổ do đo lường gây ra.</w:t>
      </w:r>
    </w:p>
    <w:bookmarkEnd w:id="46"/>
    <w:bookmarkStart w:id="47" w:name="X3016edb06cdb1f10167a9ad95af3778228998d0"/>
    <w:p>
      <w:pPr>
        <w:pStyle w:val="Heading3"/>
      </w:pPr>
      <w:r>
        <w:t xml:space="preserve">5.2 Hạ tầng số nội địa so với xuyên biên giới: một mối quan hệ bổ sung, không phải thay thế</w:t>
      </w:r>
    </w:p>
    <w:p>
      <w:pPr>
        <w:pStyle w:val="FirstParagraph"/>
      </w:pPr>
      <w:r>
        <w:t xml:space="preserve">Việc bác bỏ H4b có giá trị thông tin về mặt lý thuyết hơn một sự xác nhận thành công. Áp dụng UPI Tầng 2 tương tác âm với cường độ xuất khẩu (FSTS × DAI_epay = −4,02, p = 0,004 HC1). Điều này trái ngược với những gì giả thuyết thay thế nhà-nước-kiến-tạo dự đoán. Một diễn giải về sự bổ sung được đề xuất. Hạ tầng số công thay thế cho năng lực tư nhân chỉ khi hạ tầng công được căn chỉnh-mục-đích với hoạt động sản xuất của doanh nghiệp. UPI được căn chỉnh mục đích cho giao dịch nội địa. Nó vận hành trên các đường ray đồng rupee, đòi hỏi định danh khách hàng (KYC) neo theo Aadhaar cho các đối tác cư trú tại Ấn Độ, và tích hợp với hệ thống ngân hàng nội địa thay vì các mạng đại lý quốc tế. Các nhà xuất khẩu cần một hệ thống hạ tầng khác: SWIFT để truyền tin xuyên biên giới, ngân hàng đại lý để thanh toán bù trừ, tài trợ thương mại cho vốn lưu động qua các chu kỳ vận chuyển dài, bảo hiểm tín dụng xuất khẩu và các phương tiện ngoại hối kỳ hạn để phòng ngừa rủi ro.</w:t>
      </w:r>
    </w:p>
    <w:p>
      <w:pPr>
        <w:pStyle w:val="BodyText"/>
      </w:pPr>
      <w:r>
        <w:t xml:space="preserve">Aschauer (1989) nghiên cứu đường cao tốc và Donaldson (2018) nghiên cứu đường sắt. Cả hai ghi nhận lợi tức năng suất lớn từ hạ tầng công được căn chỉnh mục đích cho thương mại nội địa. Phát hiện hiện tại là trường hợp âm đối xứng. Hạ tầng công không được căn chỉnh mục đích với hoạt động sản xuất của doanh nghiệp không mang lại lợi tức năng suất. Nó thậm chí có thể chuyển hướng sự chú ý khỏi đầu tư hạ tầng xuyên biên giới mà các nhà xuất khẩu thực sự cần. Tương tác âm được ước lượng ở đây có thể được dẫn dắt một cách hợp lý bởi cả lựa chọn (các doanh nghiệp có tỷ phần khách hàng nội địa cao dựa nhiều hơn vào UPI và một cách cơ học ít định hướng xuất khẩu hơn) và sự thay thế hành vi (tính nổi bật của hạ tầng số nội địa có thể làm giảm sự chú ý của doanh nghiệp đối với hệ thống tài chính xuất khẩu). Việc tách bạch những điều này đòi hỏi dữ liệu mảng cấp doanh nghiệp với thời điểm áp dụng UPI. Đây là một sự mở rộng đáng giá mà thiết kế mặt cắt ngang hiện tại không thể giải quyết.</w:t>
      </w:r>
    </w:p>
    <w:p>
      <w:pPr>
        <w:pStyle w:val="BodyText"/>
      </w:pPr>
      <w:r>
        <w:t xml:space="preserve">Một mối quan ngại nội sinh tiềm tàng đáng được ghi nhận rõ ràng. Ở các doanh nghiệp năm 2025 có DAI_epay cao, phân phối cường độ xuất khẩu bị cắt cụt một cách cơ học xuống dưới. Các doanh nghiệp có khách hàng là người nước ngoài không thanh toán qua UPI, nên tỷ phần UPI cao và tỷ phần xuất khẩu cao có liên hệ nghịch trong chính quá trình tạo dữ liệu. Tương tác âm được ước lượng ở đây có thể phần nào phản ánh tương quan nghịch cơ học này thay vì một cơ chế hành vi. Việc bác bỏ H4b được xử lý như gợi ý thay vì dứt khoát. Diễn giải về sự bổ sung được đưa ra như lời giải thích mạch lạc nhất về mặt lý thuyết. Việc kiểm chứng nhân quả đòi hỏi hoặc một biến công cụ cho áp dụng UPI hoặc một thiết kế dữ liệu mảng quan sát mức độ áp dụng UPI trong cùng doanh nghiệp.</w:t>
      </w:r>
    </w:p>
    <w:bookmarkEnd w:id="47"/>
    <w:bookmarkStart w:id="48" w:name="Xecec2292415583b5e1efcce0e93b383d1f746d2"/>
    <w:p>
      <w:pPr>
        <w:pStyle w:val="Heading3"/>
      </w:pPr>
      <w:r>
        <w:t xml:space="preserve">5.3 Sự đảo dấu TCI dưới chuyển hướng chiến lược hậu-PLI</w:t>
      </w:r>
    </w:p>
    <w:p>
      <w:pPr>
        <w:pStyle w:val="FirstParagraph"/>
      </w:pPr>
      <w:r>
        <w:t xml:space="preserve">Chỉ số Năng lực Công nghệ vận hành như một yếu tố dịch chuyển mức dương vào năm 2014 (β = +0,12, p &lt; 0,0001) và 2022 (β = +0,19, p &lt; 0,0001), ủng hộ H3a. Vào năm 2025, hiệu ứng chính TCI đảo sang âm (β = −0,08, p &lt; 0,0001) và tương tác FSTS × TCI trở nên dương và có ý nghĩa (β = +0,20, p = 0,03), ủng hộ H3b. Mô hình này nhất quán với đánh đổi nhấn mạnh chiến lược của Mizik and Jacobson (2003). Khi các động cơ chính sách tái định hướng đầu tư năng lực công nghệ về phía sản xuất nội địa (PLI), các doanh nghiệp tích lũy TCI chủ yếu cho các mục đích nội địa trải nghiệm các nhu cầu cạnh tranh trên cùng nguồn lực nội bộ. Điều này triệt tiêu lợi tức năng suất mà TCI mang lại khi tích lũy năng lực bàng quan với định hướng xuất khẩu. Tương tác FSTS × TCI dương vào năm 2025 cho thấy TCI tiếp tục mang lại lợi tức đặc biệt cho các doanh nghiệp duy trì định hướng xuất khẩu cao. Đây là tập con mà với họ đầu tư năng lực vẫn được căn chỉnh với xuất khẩu. Kết quả củng cố lập luận thể chế rộng hơn rằng dưới chuyển hướng chiến lược chưa từng có, ngay cả các construct năng lực cấp doanh nghiệp cũng hành xử khác đi.</w:t>
      </w:r>
    </w:p>
    <w:bookmarkEnd w:id="48"/>
    <w:bookmarkStart w:id="49" w:name="Xc7bf67f1811df3b5dadbf103062b97b25057510"/>
    <w:p>
      <w:pPr>
        <w:pStyle w:val="Heading3"/>
      </w:pPr>
      <w:r>
        <w:t xml:space="preserve">5.4 Hàm ý chính sách được hiệu chỉnh từ bằng chứng về sự sụp đổ ngưỡng</w:t>
      </w:r>
    </w:p>
    <w:p>
      <w:pPr>
        <w:pStyle w:val="FirstParagraph"/>
      </w:pPr>
      <w:r>
        <w:t xml:space="preserve">Đối với chính sách xúc tiến xuất khẩu cho SME Ấn Độ, sự biến mất thực nghiệm của điểm ngưỡng hình chữ U ngược vào năm 2025 đòi hỏi tái hiệu chỉnh bất kỳ chuẩn chính sách trước đây nào. Các mục tiêu cường độ xuất khẩu được hiệu chỉnh theo đỉnh năng suất 2014 (FSTS ≈ 60 phần trăm) hoặc theo đỉnh năng suất 2022 (FSTS ≈ 41 phần trăm) không còn bảo vệ được về mặt thực nghiệm cho môi trường thể chế năm 2025. Câu hỏi chính sách hậu-2025 không phải là "cường độ xuất khẩu tối ưu là gì?" mà là "dưới các điều kiện thể chế nào thì một điểm tối ưu tái xuất hiện?" Khôi phục tính dự đoán được của thể chế là logic đi trước việc đặt mục tiêu cường độ xuất khẩu. Điều này bao gồm các biểu thuế quan ổn định, chính sách nhập khẩu đầu vào dự đoán được và hạ tầng tài chính xuyên biên giới ổn định.</w:t>
      </w:r>
    </w:p>
    <w:p>
      <w:pPr>
        <w:pStyle w:val="BodyText"/>
      </w:pPr>
      <w:r>
        <w:t xml:space="preserve">Đối với chính sách hạ tầng số, điều tiết Tầng 2 mang dấu âm không biện minh cho việc rút đầu tư khỏi UPI hoặc India Stack. Hàng hóa công số nội địa mang lại phúc lợi to lớn cho dân số mà chúng phục vụ. Thay vào đó, phát hiện biện minh cho đầu tư chính sách rõ ràng vào lớp hạ tầng số chuyên biệt cho hoạt động xuyên biên giới mà UPI không giải quyết. Điều này bao gồm các nền tảng số tài trợ thương mại, số hóa bảo hiểm tín dụng xuất khẩu, số hóa thủ tục hải quan và chứng từ thương mại, và tích hợp với các mạng ngân hàng đại lý quốc tế. Mạng Mở cho Thương mại Số (Open Network for Digital Commerce, ONDC), khung Tổng hợp Tài khoản (Account Aggregator) và các nền tảng chứng từ thương mại mới nổi là các yếu tố bổ sung phù hợp. Định vị chúng như những yếu tố thay thế cho UPI sẽ đọc sai bằng chứng.</w:t>
      </w:r>
    </w:p>
    <w:p>
      <w:pPr>
        <w:pStyle w:val="BodyText"/>
      </w:pPr>
      <w:r>
        <w:t xml:space="preserve">Đối với chương trình PLI, sự đảo dấu TCI vào năm 2025 nêu lên một mối quan ngại về tính nhất quán chiến lược. PLI khuyến khích tích lũy năng lực cho quy mô sản xuất nội địa. Bằng chứng thực nghiệm gợi ý rằng điều này hiện đang căng thẳng với lợi tức năng suất mà tích lũy năng lực truyền thống mang lại cho các nhà xuất khẩu. Thiết kế chính sách đồng thời tưởng thưởng mở rộng xuất khẩu và tích lũy năng lực nội địa, mà không buộc phải đánh đổi giữa chúng, sẽ tương thích hơn với hàm sản xuất cấp doanh nghiệp quan sát được.</w:t>
      </w:r>
    </w:p>
    <w:bookmarkEnd w:id="49"/>
    <w:bookmarkStart w:id="50" w:name="Xbef12aed5ab96d6cb1fef899fa01326f49f5fc9"/>
    <w:p>
      <w:pPr>
        <w:pStyle w:val="Heading3"/>
      </w:pPr>
      <w:r>
        <w:t xml:space="preserve">5.5 Đóng góp lý thuyết</w:t>
      </w:r>
    </w:p>
    <w:p>
      <w:pPr>
        <w:pStyle w:val="FirstParagraph"/>
      </w:pPr>
      <w:r>
        <w:t xml:space="preserve">Ba đóng góp lý thuyết nổi lên từ phân tích.</w:t>
      </w:r>
    </w:p>
    <w:p>
      <w:pPr>
        <w:pStyle w:val="BodyText"/>
      </w:pPr>
      <w:r>
        <w:t xml:space="preserve">Thứ nhất, nghiên cứu này cung cấp bằng chứng dọc trong cùng quốc gia đầu tiên rằng mối quan hệ quốc tế hóa–hiệu quả hình chữ U ngược có thể bị tan rã bởi thay đổi thể chế đủ cực đoan, thay vì chỉ tái định vị điểm ngưỡng. Điều này xác định một điều kiện phạm vi chưa từng được kiểm định cho quy luật khái quát kinh điển của Lu and Beamish (2004). Hình chữ U ngược phụ thuộc vào tính ổn định thể chế. Công trình về điều kiện biên trước đây đã chất vấn đặc tả, đo lường hoặc độ vững của biến điều tiết (Hennart, 2007; Banalieva et al., 2017). Nghiên cứu hiện tại xác định một biên môi trường mà văn liệu trước đây đã giả định nhưng chưa bao giờ kiểm định với dữ liệu cấp doanh nghiệp đa đợt.</w:t>
      </w:r>
    </w:p>
    <w:p>
      <w:pPr>
        <w:pStyle w:val="BodyText"/>
      </w:pPr>
      <w:r>
        <w:t xml:space="preserve">Thứ hai, việc bác bỏ H4b tinh chỉnh văn liệu nhà-nước-kiến-tạo về hạ tầng số công (Aschauer, 1989; Donaldson, 2018). Hạ tầng công thay thế cho năng lực tư nhân chỉ khi được căn chỉnh mục đích với hoạt động sản xuất của doanh nghiệp. Trường hợp Ấn Độ cho thấy hạ tầng nội địa bằng đồng rupee công (UPI) và hạ tầng xuất khẩu xuyên biên giới là các yếu tố bổ sung, không phải thay thế, trong hàm sản xuất xuất khẩu. Hàm ý về thiết kế thể chế là việc mở rộng một lớp mà không có lớp kia không tạo ra lợi ích năng suất nào cho nhà xuất khẩu.</w:t>
      </w:r>
    </w:p>
    <w:p>
      <w:pPr>
        <w:pStyle w:val="BodyText"/>
      </w:pPr>
      <w:r>
        <w:t xml:space="preserve">Thứ ba, sự đảo dấu TCI dưới chuyển hướng chiến lược hậu-PLI mở rộng văn liệu nhấn mạnh chiến lược (Mizik and Jacobson, 2003) vào bối cảnh kinh doanh quốc tế. Các construct năng lực ổn định về lý thuyết qua các bối cảnh (năng lực hấp thụ, năng lực động) có thể biểu hiện dấu vận hành phụ thuộc bối cảnh khi các động cơ chính sách lớn tái định hướng việc sử dụng chiến lược của những năng lực đó. Đây là một thách thức tinh tế hơn đối với các lý thuyết dựa trên năng lực so với luận điểm chuẩn về tính dị biệt-theo-bối-cảnh.</w:t>
      </w:r>
    </w:p>
    <w:bookmarkEnd w:id="50"/>
    <w:bookmarkStart w:id="51" w:name="Xfbf8d931267d42be8e341e00a9eb9c2235c175e"/>
    <w:p>
      <w:pPr>
        <w:pStyle w:val="Heading3"/>
      </w:pPr>
      <w:r>
        <w:t xml:space="preserve">5.6 Điều kiện biên và phạm vi</w:t>
      </w:r>
    </w:p>
    <w:p>
      <w:pPr>
        <w:pStyle w:val="FirstParagraph"/>
      </w:pPr>
      <w:r>
        <w:t xml:space="preserve">Các phát hiện bị giới hạn theo năm cách. Thứ nhất, ba đợt là các mặt cắt ngang độc lập thay vì dữ liệu mảng trong cùng doanh nghiệp. Các tuyên bố nhân quả trong cùng doanh nghiệp không được hỗ trợ. Thứ hai, các công cụ 2014, 2022 và 2025 không giống hệt nhau. Tuy nhiên, quỹ đạo đơn điệu qua cầu nối 2022 ủng hộ một diễn giải cấu trúc thay vì sản phẩm phụ. Thứ ba, DAI Tầng 2 chỉ được đo vào năm 2025, giới hạn các so sánh Tầng-1-với-Tầng-2 vào đợt hậu-UPI. Thứ tư, sai số chuẩn vững theo phương sai sai số không đồng nhất (HC1) trong đặc tả chính và vững theo cụm bang (khoảng 24 cụm) trong đặc tả kiểm định vững. Với số cụm này, lý lẽ tiệm cận cho suy luận vững theo cụm ở ranh giới. Tự khởi tạo cụm hoang dã (Cameron et al., 2008; MacKinnon and Webb, 2017) sẽ thắt chặt suy luận khi chỉnh sửa. Thứ năm, mối quan ngại nội sinh DAI_epay nêu trong Mục 5.2 vẫn chưa được giải quyết và làm hạn chế việc tái diễn giải H4b.</w:t>
      </w:r>
    </w:p>
    <w:bookmarkEnd w:id="51"/>
    <w:bookmarkEnd w:id="52"/>
    <w:bookmarkStart w:id="53" w:name="X034d0a9e594689c1c83bf20f4d68a2017baeb0a"/>
    <w:p>
      <w:pPr>
        <w:pStyle w:val="Heading2"/>
      </w:pPr>
      <w:r>
        <w:t xml:space="preserve">6. Hạn chế và hướng nghiên cứu tiếp theo</w:t>
      </w:r>
    </w:p>
    <w:p>
      <w:pPr>
        <w:pStyle w:val="FirstParagraph"/>
      </w:pPr>
      <w:r>
        <w:t xml:space="preserve">Các hạn chế thực chất được trình bày chi tiết trong Mục 5.6. Ba hướng bổ sung cho nghiên cứu tương lai nảy sinh từ chúng.</w:t>
      </w:r>
    </w:p>
    <w:p>
      <w:pPr>
        <w:pStyle w:val="BodyText"/>
      </w:pPr>
      <w:r>
        <w:t xml:space="preserve">Thứ nhất, nghiên cứu này sử dụng các mặt cắt ngang lặp lại qua ba đợt. Một thiết kế dữ liệu mảng trong cùng doanh nghiệp cho Ấn Độ, khả thi qua các doanh nghiệp được đối sánh một phần giữa các đợt WBES 2014 và 2022, sẽ xác định liệu sự sụp đổ ngưỡng vận hành qua tiến hóa cấp doanh nghiệp hay qua hiệu ứng thành phần. Diễn giải tiến-hóa-cấp-doanh-nghiệp cho rằng mối quan hệ năng-suất-xuất-khẩu của cùng một doanh nghiệp thay đổi. Diễn giải hiệu-ứng-thành-phần cho rằng các doanh nghiệp khác nhau gia nhập và rời khỏi mẫu phân tích với các hồ sơ I–P khác nhau. Sự phân biệt có hàm ý chính sách trực tiếp. Sụp đổ do tiến hóa doanh nghiệp dẫn dắt hàm ý chính sách thích ứng cấp doanh nghiệp. Sụp đổ do thành phần dẫn dắt hàm ý chính sách tái cân bằng ngành.</w:t>
      </w:r>
    </w:p>
    <w:p>
      <w:pPr>
        <w:pStyle w:val="BodyText"/>
      </w:pPr>
      <w:r>
        <w:t xml:space="preserve">Thứ hai, diễn giải H4b đòi hỏi kiểm chứng nhân quả. Các cách tiếp cận biến công cụ đối với áp dụng UPI có thể tách bạch hiệu ứng lựa chọn cơ học khỏi hiệu ứng thay thế hành vi được đề xuất. Một công cụ hứa hẹn là thời điểm triển khai cấp bang của sáng kiến tài khoản ngân hàng Pradhan Mantri Jan-Dhan Yojana (PMJDY), vốn đi trước và tạo điều kiện cho UPI. Một nghiên cứu tương lai khai thác dữ liệu mảng cấp doanh nghiệp xuyên quốc gia từ sản phẩm Bộ Dữ liệu Mảng WBES sẽ mở rộng phát hiện về điều kiện biên. Một sự mở rộng như vậy sẽ kiểm định liệu mô hình tan rã ngưỡng là đặc thù Ấn Độ hay khái quát sang các thị trường mới nổi biến động thể chế khác.</w:t>
      </w:r>
    </w:p>
    <w:p>
      <w:pPr>
        <w:pStyle w:val="BodyText"/>
      </w:pPr>
      <w:r>
        <w:t xml:space="preserve">Thứ ba, công trình trước của các tác giả (Do and Phan, 2025) xem xét các biến điều tiết của ban lãnh đạo cấp cao đối với một mối quan hệ DOI-hiệu-quả tuyến tính trong một mẫu con được đối sánh gồm 380 doanh nghiệp Ấn Độ. Hai nghiên cứu bổ sung cho nhau. Công trình trước đặc trưng hóa các cơ chế quản trị vận hành bên trong doanh nghiệp. Nghiên cứu hiện tại đặc trưng hóa các cơ chế thể chế vận hành lên doanh nghiệp. Một xử lý hợp nhất về điều tiết của TMT và các điều kiện phạm vi thể chế, khả thi nếu dữ liệu mảng được đối sánh có thể được mở rộng, sẽ giải quyết cả các yếu tố quyết định trong-doanh-nghiệp lẫn giữa-các-môi-trường của mối quan hệ I–P.</w:t>
      </w:r>
    </w:p>
    <w:p>
      <w:r>
        <w:pict>
          <v:rect style="width:0;height:1.5pt" o:hralign="center" o:hrstd="t" o:hr="t"/>
        </w:pict>
      </w:r>
    </w:p>
    <w:bookmarkEnd w:id="53"/>
    <w:bookmarkStart w:id="54" w:name="lời-cảm-ơn"/>
    <w:p>
      <w:pPr>
        <w:pStyle w:val="Heading2"/>
      </w:pPr>
      <w:r>
        <w:t xml:space="preserve">Lời cảm ơn</w:t>
      </w:r>
    </w:p>
    <w:p>
      <w:pPr>
        <w:pStyle w:val="FirstParagraph"/>
      </w:pPr>
      <w:r>
        <w:t xml:space="preserve">Các tác giả cảm ơn Đơn vị Phân tích Doanh nghiệp của Nhóm Chỉ số Toàn cầu Kinh tế Phát triển của Ngân hàng Thế giới về dữ liệu WBES Ấn Độ 2014, 2022 và 2025. Người thu thập dữ liệu gốc, nhà phân phối được ủy quyền và cơ quan tài trợ liên quan không chịu trách nhiệm về việc sử dụng dữ liệu hoặc các diễn giải hay suy luận dựa trên việc sử dụng đó.</w:t>
      </w:r>
    </w:p>
    <w:p>
      <w:pPr>
        <w:pStyle w:val="BodyText"/>
      </w:pPr>
      <w:r>
        <w:t xml:space="preserve">Các tác giả cũng ghi nhận một công trình liên quan trước đây (Do and Phan, 2025, IntechOpen, DOI 10.5772/intechopen.1011012) xem xét các biến điều tiết của ban lãnh đạo cấp cao đối với mối quan hệ quốc tế hóa–hiệu quả tuyến tính trong một mẫu con được đối sánh gồm 380 doanh nghiệp Ấn Độ. Bản thảo hiện tại áp dụng một lăng kính lý thuyết khác (quan điểm dựa trên thể chế), đặc tả thực nghiệm khác (hình chữ U ngược bậc hai) và câu hỏi nghiên cứu khác (độ bền ngưỡng) sử dụng toàn bộ mẫu WBES. Hai nghiên cứu được dự định bổ sung cho nhau thay vì chồng lấn.</w:t>
      </w:r>
    </w:p>
    <w:bookmarkEnd w:id="54"/>
    <w:bookmarkStart w:id="55" w:name="xung-đột-lợi-ích"/>
    <w:p>
      <w:pPr>
        <w:pStyle w:val="Heading2"/>
      </w:pPr>
      <w:r>
        <w:t xml:space="preserve">Xung đột lợi ích</w:t>
      </w:r>
    </w:p>
    <w:p>
      <w:pPr>
        <w:pStyle w:val="FirstParagraph"/>
      </w:pPr>
      <w:r>
        <w:t xml:space="preserve">Các tác giả tuyên bố không có xung đột lợi ích.</w:t>
      </w:r>
    </w:p>
    <w:bookmarkEnd w:id="55"/>
    <w:bookmarkStart w:id="56" w:name="tài-trợ"/>
    <w:p>
      <w:pPr>
        <w:pStyle w:val="Heading2"/>
      </w:pPr>
      <w:r>
        <w:t xml:space="preserve">Tài trợ</w:t>
      </w:r>
    </w:p>
    <w:p>
      <w:pPr>
        <w:pStyle w:val="FirstParagraph"/>
      </w:pPr>
      <w:r>
        <w:t xml:space="preserve">Nghiên cứu này không nhận tài trợ cụ thể từ bất kỳ cơ quan tài trợ nào trong khu vực công, thương mại hay phi lợi nhuận.</w:t>
      </w:r>
    </w:p>
    <w:bookmarkEnd w:id="56"/>
    <w:bookmarkStart w:id="57" w:name="tính-khả-dụng-của-dữ-liệu"/>
    <w:p>
      <w:pPr>
        <w:pStyle w:val="Heading2"/>
      </w:pPr>
      <w:r>
        <w:t xml:space="preserve">Tính khả dụng của dữ liệu</w:t>
      </w:r>
    </w:p>
    <w:p>
      <w:pPr>
        <w:pStyle w:val="FirstParagraph"/>
      </w:pPr>
      <w:r>
        <w:t xml:space="preserve">Dữ liệu vi mô WBES Ấn Độ 2014, 2022 và 2025 có sẵn công khai qua</w:t>
      </w:r>
      <w:r>
        <w:t xml:space="preserve"> </w:t>
      </w:r>
      <w:hyperlink r:id="rId33">
        <w:r>
          <w:rPr>
            <w:rStyle w:val="Hyperlink"/>
          </w:rPr>
          <w:t xml:space="preserve">https://www.enterprisesurveys.org</w:t>
        </w:r>
      </w:hyperlink>
      <w:r>
        <w:t xml:space="preserve"> </w:t>
      </w:r>
      <w:r>
        <w:t xml:space="preserve">tùy thuộc vào đăng ký với Ngân hàng Thế giới. Tài liệu tái lập có sẵn từ tác giả liên hệ theo yêu cầu hợp lý và có thể được chia sẻ trong phạm vi được Giao thức Tiếp cận Dữ liệu WBES cho phép. Các tài liệu này bao gồm giao thức hài hòa dữ liệu qua các lược đồ PICS3, BEE trung gian và BREADY, các tệp do Stata, mã xây dựng biến và các đặc tả mô hình.</w:t>
      </w:r>
    </w:p>
    <w:bookmarkEnd w:id="57"/>
    <w:bookmarkStart w:id="58" w:name="sử-dụng-ai-tạo-sinh-trong-quá-trình-viết"/>
    <w:p>
      <w:pPr>
        <w:pStyle w:val="Heading2"/>
      </w:pPr>
      <w:r>
        <w:t xml:space="preserve">Sử dụng AI tạo sinh trong quá trình viết</w:t>
      </w:r>
    </w:p>
    <w:p>
      <w:pPr>
        <w:pStyle w:val="FirstParagraph"/>
      </w:pPr>
      <w:r>
        <w:t xml:space="preserve">Các công cụ AI tạo sinh được sử dụng trong quá trình chuẩn bị bản thảo để hỗ trợ chỉnh sửa ngôn ngữ, gợi ý cấu trúc và lắp ráp tài liệu gói tái lập. Toàn bộ khung khái niệm, phát triển giả thuyết, phân tích thực nghiệm, diễn giải kết quả và câu chữ cuối cùng do các tác giả là con người soạn thảo, những người chịu trách nhiệm hoàn toàn về nội dung của ấn phẩm.</w:t>
      </w:r>
    </w:p>
    <w:p>
      <w:r>
        <w:pict>
          <v:rect style="width:0;height:1.5pt" o:hralign="center" o:hrstd="t" o:hr="t"/>
        </w:pict>
      </w:r>
    </w:p>
    <w:bookmarkEnd w:id="58"/>
    <w:bookmarkStart w:id="60" w:name="tài-liệu-tham-khảo"/>
    <w:p>
      <w:pPr>
        <w:pStyle w:val="Heading2"/>
      </w:pPr>
      <w:r>
        <w:t xml:space="preserve">Tài liệu tham khảo</w:t>
      </w:r>
    </w:p>
    <w:p>
      <w:pPr>
        <w:pStyle w:val="FirstParagraph"/>
      </w:pPr>
      <w:r>
        <w:t xml:space="preserve">Ackerberg, D.A., Caves, K. and Frazer, G. (2015), "Identification properties of recent production function estimators",</w:t>
      </w:r>
      <w:r>
        <w:t xml:space="preserve"> </w:t>
      </w:r>
      <w:r>
        <w:rPr>
          <w:iCs/>
          <w:i/>
        </w:rPr>
        <w:t xml:space="preserve">Econometrica</w:t>
      </w:r>
      <w:r>
        <w:t xml:space="preserve">, Vol. 83 No. 6, pp. 2411–2451.</w:t>
      </w:r>
    </w:p>
    <w:p>
      <w:pPr>
        <w:pStyle w:val="BodyText"/>
      </w:pPr>
      <w:r>
        <w:t xml:space="preserve">Aschauer, D.A. (1989), "Is public expenditure productive?",</w:t>
      </w:r>
      <w:r>
        <w:t xml:space="preserve"> </w:t>
      </w:r>
      <w:r>
        <w:rPr>
          <w:iCs/>
          <w:i/>
        </w:rPr>
        <w:t xml:space="preserve">Journal of Monetary Economics</w:t>
      </w:r>
      <w:r>
        <w:t xml:space="preserve">, Vol. 23 No. 2, pp. 177–200.</w:t>
      </w:r>
    </w:p>
    <w:p>
      <w:pPr>
        <w:pStyle w:val="BodyText"/>
      </w:pPr>
      <w:r>
        <w:t xml:space="preserve">Asher, S. and Novosad, P. (2017), "Politics and local economic growth: evidence from India",</w:t>
      </w:r>
      <w:r>
        <w:t xml:space="preserve"> </w:t>
      </w:r>
      <w:r>
        <w:rPr>
          <w:iCs/>
          <w:i/>
        </w:rPr>
        <w:t xml:space="preserve">American Economic Journal: Applied Economics</w:t>
      </w:r>
      <w:r>
        <w:t xml:space="preserve">, Vol. 9 No. 1, pp. 229–273.</w:t>
      </w:r>
    </w:p>
    <w:p>
      <w:pPr>
        <w:pStyle w:val="BodyText"/>
      </w:pPr>
      <w:r>
        <w:t xml:space="preserve">Banalieva, E.R., Eddleston, K.A. and Zellweger, T.M. (2017), "When do family firms have an advantage in transitioning economies? Toward a dynamic institution-based view",</w:t>
      </w:r>
      <w:r>
        <w:t xml:space="preserve"> </w:t>
      </w:r>
      <w:r>
        <w:rPr>
          <w:iCs/>
          <w:i/>
        </w:rPr>
        <w:t xml:space="preserve">Strategic Management Journal</w:t>
      </w:r>
      <w:r>
        <w:t xml:space="preserve">, Vol. 38 No. 4, pp. 800–824.</w:t>
      </w:r>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 471–482.</w:t>
      </w:r>
    </w:p>
    <w:p>
      <w:pPr>
        <w:pStyle w:val="BodyText"/>
      </w:pPr>
      <w:r>
        <w:t xml:space="preserve">Burgess, R. and Pande, R. (2005), "Do rural banks matter? Evidence from the Indian social banking experiment",</w:t>
      </w:r>
      <w:r>
        <w:t xml:space="preserve"> </w:t>
      </w:r>
      <w:r>
        <w:rPr>
          <w:iCs/>
          <w:i/>
        </w:rPr>
        <w:t xml:space="preserve">American Economic Review</w:t>
      </w:r>
      <w:r>
        <w:t xml:space="preserve">, Vol. 95 No. 3, pp. 780–795.</w:t>
      </w:r>
    </w:p>
    <w:p>
      <w:pPr>
        <w:pStyle w:val="BodyText"/>
      </w:pPr>
      <w:r>
        <w:t xml:space="preserve">Cameron, A.C., Gelbach, J.B. and Miller, D.L. (2008), "Bootstrap-based improvements for inference with clustered errors",</w:t>
      </w:r>
      <w:r>
        <w:t xml:space="preserve"> </w:t>
      </w:r>
      <w:r>
        <w:rPr>
          <w:iCs/>
          <w:i/>
        </w:rPr>
        <w:t xml:space="preserve">Review of Economics and Statistics</w:t>
      </w:r>
      <w:r>
        <w:t xml:space="preserve">, Vol. 90 No. 3, pp. 414–427.</w:t>
      </w:r>
    </w:p>
    <w:p>
      <w:pPr>
        <w:pStyle w:val="BodyText"/>
      </w:pPr>
      <w:r>
        <w:t xml:space="preserve">Chittoor, R., Sarkar, M.B., Ray, S. and Aulakh, P.S. (2009), "Third-world copycats to emerging multinationals: institutional changes and organizational transformation in the Indian pharmaceutical industry",</w:t>
      </w:r>
      <w:r>
        <w:t xml:space="preserve"> </w:t>
      </w:r>
      <w:r>
        <w:rPr>
          <w:iCs/>
          <w:i/>
        </w:rPr>
        <w:t xml:space="preserve">Organization Science</w:t>
      </w:r>
      <w:r>
        <w:t xml:space="preserve">, Vol. 20 No. 1, pp. 187–205.</w:t>
      </w:r>
    </w:p>
    <w:p>
      <w:pPr>
        <w:pStyle w:val="BodyText"/>
      </w:pPr>
      <w:r>
        <w:t xml:space="preserve">Chodorow-Reich, G., Gopinath, G., Mishra, P. and Narayanan, A. (2020), "Cash and the economy: evidence from India's demonetization",</w:t>
      </w:r>
      <w:r>
        <w:t xml:space="preserve"> </w:t>
      </w:r>
      <w:r>
        <w:rPr>
          <w:iCs/>
          <w:i/>
        </w:rPr>
        <w:t xml:space="preserve">Quarterly Journal of Economics</w:t>
      </w:r>
      <w:r>
        <w:t xml:space="preserve">, Vol. 135 No. 1, pp. 57–103.</w:t>
      </w:r>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 128–152.</w:t>
      </w:r>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 453–475.</w:t>
      </w:r>
    </w:p>
    <w:p>
      <w:pPr>
        <w:pStyle w:val="BodyText"/>
      </w:pPr>
      <w:r>
        <w:t xml:space="preserve">Contractor, F.J., Kumar, V. and Kundu, S.K. (2007), "Nature of the relationship between international expansion and performance: the case of emerging market firms",</w:t>
      </w:r>
      <w:r>
        <w:t xml:space="preserve"> </w:t>
      </w:r>
      <w:r>
        <w:rPr>
          <w:iCs/>
          <w:i/>
        </w:rPr>
        <w:t xml:space="preserve">Journal of World Business</w:t>
      </w:r>
      <w:r>
        <w:t xml:space="preserve">, Vol. 42 No. 4, pp. 401–417.</w:t>
      </w:r>
    </w:p>
    <w:p>
      <w:pPr>
        <w:pStyle w:val="BodyText"/>
      </w:pPr>
      <w:r>
        <w:t xml:space="preserve">Cuervo-Cazurra, A. (2012), "Extending theory by analyzing developing country multinational companies: solving the goldilocks debate",</w:t>
      </w:r>
      <w:r>
        <w:t xml:space="preserve"> </w:t>
      </w:r>
      <w:r>
        <w:rPr>
          <w:iCs/>
          <w:i/>
        </w:rPr>
        <w:t xml:space="preserve">Global Strategy Journal</w:t>
      </w:r>
      <w:r>
        <w:t xml:space="preserve">, Vol. 2 No. 3, pp. 153–167.</w:t>
      </w:r>
    </w:p>
    <w:p>
      <w:pPr>
        <w:pStyle w:val="BodyText"/>
      </w:pPr>
      <w:r>
        <w:t xml:space="preserve">De Loecker, J. (2013), "Detecting learning by exporting",</w:t>
      </w:r>
      <w:r>
        <w:t xml:space="preserve"> </w:t>
      </w:r>
      <w:r>
        <w:rPr>
          <w:iCs/>
          <w:i/>
        </w:rPr>
        <w:t xml:space="preserve">American Economic Journal: Microeconomics</w:t>
      </w:r>
      <w:r>
        <w:t xml:space="preserve">, Vol. 5 No. 3, pp. 1–21.</w:t>
      </w:r>
    </w:p>
    <w:p>
      <w:pPr>
        <w:pStyle w:val="BodyText"/>
      </w:pPr>
      <w:r>
        <w:t xml:space="preserve">Do, T.H. and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London, available at:</w:t>
      </w:r>
      <w:r>
        <w:t xml:space="preserve"> </w:t>
      </w:r>
      <w:hyperlink r:id="rId59">
        <w:r>
          <w:rPr>
            <w:rStyle w:val="Hyperlink"/>
          </w:rPr>
          <w:t xml:space="preserve">https://doi.org/10.5772/intechopen.1011012</w:t>
        </w:r>
      </w:hyperlink>
    </w:p>
    <w:p>
      <w:pPr>
        <w:pStyle w:val="BodyText"/>
      </w:pPr>
      <w:r>
        <w:t xml:space="preserve">Donaldson, D. (2018), "Railroads of the Raj: estimating the impact of transportation infrastructure",</w:t>
      </w:r>
      <w:r>
        <w:t xml:space="preserve"> </w:t>
      </w:r>
      <w:r>
        <w:rPr>
          <w:iCs/>
          <w:i/>
        </w:rPr>
        <w:t xml:space="preserve">American Economic Review</w:t>
      </w:r>
      <w:r>
        <w:t xml:space="preserve">, Vol. 108 No. 4–5, pp. 899–934.</w:t>
      </w:r>
    </w:p>
    <w:p>
      <w:pPr>
        <w:pStyle w:val="BodyText"/>
      </w:pPr>
      <w:r>
        <w:t xml:space="preserve">Elango, B. and Pattnaik, C. (2007), "Building capabilities for international operations through networks: a study of Indian firms",</w:t>
      </w:r>
      <w:r>
        <w:t xml:space="preserve"> </w:t>
      </w:r>
      <w:r>
        <w:rPr>
          <w:iCs/>
          <w:i/>
        </w:rPr>
        <w:t xml:space="preserve">Journal of International Business Studies</w:t>
      </w:r>
      <w:r>
        <w:t xml:space="preserve">, Vol. 38 No. 4, pp. 541–555.</w:t>
      </w:r>
    </w:p>
    <w:p>
      <w:pPr>
        <w:pStyle w:val="BodyText"/>
      </w:pPr>
      <w:r>
        <w:t xml:space="preserve">Geleilate, J.G., Magnusson, P., Parente, R.C. and Alvarado-Vargas, M.J. (2016), "Home country institutional effects on the multinationality–performance relationship: a comparison between emerging and developed market multinationals",</w:t>
      </w:r>
      <w:r>
        <w:t xml:space="preserve"> </w:t>
      </w:r>
      <w:r>
        <w:rPr>
          <w:iCs/>
          <w:i/>
        </w:rPr>
        <w:t xml:space="preserve">Journal of International Management</w:t>
      </w:r>
      <w:r>
        <w:t xml:space="preserve">, Vol. 22 No. 4, pp. 380–402.</w:t>
      </w:r>
    </w:p>
    <w:p>
      <w:pPr>
        <w:pStyle w:val="BodyText"/>
      </w:pPr>
      <w:r>
        <w:t xml:space="preserve">Goldfarb, A. and Tucker, C. (2019), "Digital economics",</w:t>
      </w:r>
      <w:r>
        <w:t xml:space="preserve"> </w:t>
      </w:r>
      <w:r>
        <w:rPr>
          <w:iCs/>
          <w:i/>
        </w:rPr>
        <w:t xml:space="preserve">Journal of Economic Literature</w:t>
      </w:r>
      <w:r>
        <w:t xml:space="preserve">, Vol. 57 No. 1, pp. 3–43.</w:t>
      </w:r>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 1177–1195.</w:t>
      </w:r>
    </w:p>
    <w:p>
      <w:pPr>
        <w:pStyle w:val="BodyText"/>
      </w:pPr>
      <w:r>
        <w:t xml:space="preserve">Hambrick, D.C. and Mason, P.A. (1984), "Upper echelons: the organization as a reflection of its top managers",</w:t>
      </w:r>
      <w:r>
        <w:t xml:space="preserve"> </w:t>
      </w:r>
      <w:r>
        <w:rPr>
          <w:iCs/>
          <w:i/>
        </w:rPr>
        <w:t xml:space="preserve">Academy of Management Review</w:t>
      </w:r>
      <w:r>
        <w:t xml:space="preserve">, Vol. 9 No. 2, pp. 193–206.</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 423–452.</w:t>
      </w:r>
    </w:p>
    <w:p>
      <w:pPr>
        <w:pStyle w:val="BodyText"/>
      </w:pPr>
      <w:r>
        <w:t xml:space="preserve">Hoskisson, R.E., Eden, L., Lau, C.M. and Wright, M. (2000), "Strategy in emerging economies",</w:t>
      </w:r>
      <w:r>
        <w:t xml:space="preserve"> </w:t>
      </w:r>
      <w:r>
        <w:rPr>
          <w:iCs/>
          <w:i/>
        </w:rPr>
        <w:t xml:space="preserve">Academy of Management Journal</w:t>
      </w:r>
      <w:r>
        <w:t xml:space="preserve">, Vol. 43 No. 3, pp. 249–267.</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Review Press, Boston, MA.</w:t>
      </w:r>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 109–118.</w:t>
      </w:r>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 598–609.</w:t>
      </w:r>
    </w:p>
    <w:p>
      <w:pPr>
        <w:pStyle w:val="BodyText"/>
      </w:pPr>
      <w:r>
        <w:t xml:space="preserve">MacKinnon, J.G. and Webb, M.D. (2017), "Wild bootstrap inference for wildly different cluster sizes",</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 1075–1110.</w:t>
      </w:r>
    </w:p>
    <w:p>
      <w:pPr>
        <w:pStyle w:val="BodyText"/>
      </w:pPr>
      <w:r>
        <w:t xml:space="preserve">Melitz, M.J. (2003), "The impact of trade on intra-industry reallocations and aggregate industry productivity",</w:t>
      </w:r>
      <w:r>
        <w:t xml:space="preserve"> </w:t>
      </w:r>
      <w:r>
        <w:rPr>
          <w:iCs/>
          <w:i/>
        </w:rPr>
        <w:t xml:space="preserve">Econometrica</w:t>
      </w:r>
      <w:r>
        <w:t xml:space="preserve">, Vol. 71 No. 6, pp. 1695–1725.</w:t>
      </w:r>
    </w:p>
    <w:p>
      <w:pPr>
        <w:pStyle w:val="BodyText"/>
      </w:pPr>
      <w:r>
        <w:t xml:space="preserve">Mizik, N. and Jacobson, R. (2003), "Trading off between value creation and value appropriation: the financial implications of shifts in strategic emphasis",</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Olley, G.S. and Pakes, A. (1996), "The dynamics of productivity in the telecommunications equipment industry",</w:t>
      </w:r>
      <w:r>
        <w:t xml:space="preserve"> </w:t>
      </w:r>
      <w:r>
        <w:rPr>
          <w:iCs/>
          <w:i/>
        </w:rPr>
        <w:t xml:space="preserve">Econometrica</w:t>
      </w:r>
      <w:r>
        <w:t xml:space="preserve">, Vol. 64 No. 6, pp. 1263–1297.</w:t>
      </w:r>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 859–866.</w:t>
      </w:r>
    </w:p>
    <w:p>
      <w:pPr>
        <w:pStyle w:val="BodyText"/>
      </w:pPr>
      <w:r>
        <w:t xml:space="preserve">Peng, M.W., Wang, D.Y.L. and Jiang, Y. (2008), "An institution-based view of international business strategy: a focus on emerging economies",</w:t>
      </w:r>
      <w:r>
        <w:t xml:space="preserve"> </w:t>
      </w:r>
      <w:r>
        <w:rPr>
          <w:iCs/>
          <w:i/>
        </w:rPr>
        <w:t xml:space="preserve">Journal of International Business Studies</w:t>
      </w:r>
      <w:r>
        <w:t xml:space="preserve">, Vol. 39 No. 5, pp. 920–936.</w:t>
      </w:r>
    </w:p>
    <w:p>
      <w:pPr>
        <w:pStyle w:val="BodyText"/>
      </w:pPr>
      <w:r>
        <w:t xml:space="preserve">Peng, M.W., Sun, S.L., Pinkham, B. and Chen, H. (2009), "The institution-based view as a third leg for a strategy tripod",</w:t>
      </w:r>
      <w:r>
        <w:t xml:space="preserve"> </w:t>
      </w:r>
      <w:r>
        <w:rPr>
          <w:iCs/>
          <w:i/>
        </w:rPr>
        <w:t xml:space="preserve">Academy of Management Perspectives</w:t>
      </w:r>
      <w:r>
        <w:t xml:space="preserve">, Vol. 23 No. 3, pp. 63–81.</w:t>
      </w:r>
    </w:p>
    <w:p>
      <w:pPr>
        <w:pStyle w:val="BodyText"/>
      </w:pPr>
      <w:r>
        <w:t xml:space="preserve">Sambharya, R.B. (1996), "Foreign experience of top management teams and international diversification strategies of US multinational corporations",</w:t>
      </w:r>
      <w:r>
        <w:t xml:space="preserve"> </w:t>
      </w:r>
      <w:r>
        <w:rPr>
          <w:iCs/>
          <w:i/>
        </w:rPr>
        <w:t xml:space="preserve">Strategic Management Journal</w:t>
      </w:r>
      <w:r>
        <w:t xml:space="preserve">, Vol. 17 No. 9, pp. 739–746.</w:t>
      </w:r>
    </w:p>
    <w:p>
      <w:pPr>
        <w:pStyle w:val="BodyText"/>
      </w:pPr>
      <w:r>
        <w:t xml:space="preserve">Singh, D.A. (2009), "Export performance of emerging market firms",</w:t>
      </w:r>
      <w:r>
        <w:t xml:space="preserve"> </w:t>
      </w:r>
      <w:r>
        <w:rPr>
          <w:iCs/>
          <w:i/>
        </w:rPr>
        <w:t xml:space="preserve">International Business Review</w:t>
      </w:r>
      <w:r>
        <w:t xml:space="preserve">, Vol. 18 No. 4, pp. 321–330.</w:t>
      </w:r>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 1319–1350.</w:t>
      </w:r>
    </w:p>
    <w:p>
      <w:pPr>
        <w:pStyle w:val="BodyText"/>
      </w:pPr>
      <w:r>
        <w:t xml:space="preserve">Verbeke, A. and Forootan, M.Z. (2012), "How good are multinationality–performance (M-P) empirical studies?",</w:t>
      </w:r>
      <w:r>
        <w:t xml:space="preserve"> </w:t>
      </w:r>
      <w:r>
        <w:rPr>
          <w:iCs/>
          <w:i/>
        </w:rPr>
        <w:t xml:space="preserve">Global Strategy Journal</w:t>
      </w:r>
      <w:r>
        <w:t xml:space="preserve">, Vol. 2 No. 4, pp. 332–344.</w:t>
      </w:r>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 118–144.</w:t>
      </w:r>
    </w:p>
    <w:p>
      <w:pPr>
        <w:pStyle w:val="BodyText"/>
      </w:pPr>
      <w:r>
        <w:t xml:space="preserve">Williamson, O.E. (2000), "The new institutional economics: taking stock, looking ahead",</w:t>
      </w:r>
      <w:r>
        <w:t xml:space="preserve"> </w:t>
      </w:r>
      <w:r>
        <w:rPr>
          <w:iCs/>
          <w:i/>
        </w:rPr>
        <w:t xml:space="preserve">Journal of Economic Literature</w:t>
      </w:r>
      <w:r>
        <w:t xml:space="preserve">, Vol. 38 No. 3, pp. 595–613.</w:t>
      </w:r>
    </w:p>
    <w:p>
      <w:r>
        <w:pict>
          <v:rect style="width:0;height:1.5pt" o:hralign="center" o:hrstd="t" o:hr="t"/>
        </w:pict>
      </w:r>
    </w:p>
    <w:p>
      <w:pPr>
        <w:pStyle w:val="FirstParagraph"/>
      </w:pPr>
      <w:r>
        <w:rPr>
          <w:iCs/>
          <w:i/>
        </w:rPr>
        <w:t xml:space="preserve">Bản thảo phiên bản 2026-06-02. Các phần thực nghiệm đã hoàn tất; phần mở rộng kiểm định vững Mục 4.6 (mẫu con chế tạo, FSTS được cắt tỉa, tự khởi tạo cụm hoang dã) và phần dựng hình đang chờ hoàn thiện.</w:t>
      </w:r>
    </w:p>
    <w:bookmarkEnd w:id="60"/>
    <w:bookmarkEnd w:id="61"/>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5772/intechopen.1011012"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3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5772/intechopen.1011012"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3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2026-06-23T12:07:03Z</dcterms:created>
  <dcterms:modified xsi:type="dcterms:W3CDTF">2026-06-23T12:07:03Z</dcterms:modified>
</cp:coreProperties>
</file>

<file path=docProps/custom.xml><?xml version="1.0" encoding="utf-8"?>
<Properties xmlns="http://schemas.openxmlformats.org/officeDocument/2006/custom-properties" xmlns:vt="http://schemas.openxmlformats.org/officeDocument/2006/docPropsVTypes"/>
</file>