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(participation-margin effect — the productivity premium from switching from non-exporter to exporter status, distinct from the intensive margin of increasing export intensity among active exporters; Helpman, Melitz &amp; Yeaple, 2004):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shows that pooled digital coefficients on a Tier-1 binary mask progressive proxy obsolescence. The evidence that the inverted-U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4221138"/>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42211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1"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5">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6">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7">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8">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9">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0">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1">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2">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3">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4">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5">
        <w:r>
          <w:rPr>
            <w:rStyle w:val="Hyperlink"/>
          </w:rPr>
          <w:t xml:space="preserve">https://doi.org/10.1257/jel.20171452</w:t>
        </w:r>
      </w:hyperlink>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96">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7">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8">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9">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0">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1">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2">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3">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4">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5">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6">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7">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8">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9">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0">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1">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2">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3">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4">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5">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6">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7">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8">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9">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0">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1">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2">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3">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4">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5">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7">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8">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9">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0">
        <w:r>
          <w:rPr>
            <w:rStyle w:val="Hyperlink"/>
          </w:rPr>
          <w:t xml:space="preserve">https://doi.org/10.1016/j.jwb.2015.09.001</w:t>
        </w:r>
      </w:hyperlink>
    </w:p>
    <w:bookmarkEnd w:id="131"/>
    <w:bookmarkEnd w:id="13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2026-05-15T08:23:59Z</dcterms:created>
  <dcterms:modified xsi:type="dcterms:W3CDTF">2026-05-15T08:23:59Z</dcterms:modified>
</cp:coreProperties>
</file>

<file path=docProps/custom.xml><?xml version="1.0" encoding="utf-8"?>
<Properties xmlns="http://schemas.openxmlformats.org/officeDocument/2006/custom-properties" xmlns:vt="http://schemas.openxmlformats.org/officeDocument/2006/docPropsVTypes"/>
</file>