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bookmarkStart w:id="20" w:name="abstract"/>
    <w:p>
      <w:pPr>
        <w:pStyle w:val="Heading2"/>
      </w:pPr>
      <w:r>
        <w:t xml:space="preserve">Abstract</w:t>
      </w:r>
    </w:p>
    <w:p>
      <w:pPr>
        <w:pStyle w:val="FirstParagraph"/>
      </w:pPr>
      <w:r>
        <w:t xml:space="preserve">This study examines how technological capability and digital adoption are associated with the internationalization–performance relationship among firms in Singapore. Throughout, we follow recent IB recommendations on disciplined causal language (Antonakis, Bendahan, Jacquart, &amp; Lalive, 2010; Shaver, 2020) and best practice in interpreting hypothesis tests under research-design constraints (Meyer, van Witteloostuijn, &amp; Beugelsdijk, 2017), reporting associations rather than effects. Singapore is treated as a boundary-case test of the I–P relationship at the advanced-economy ceiling of the Institutional Context and Regulatory Variables (ICRV) spectrum, an analytically informative, within-context setting that reveals how the conventional nonlinear logic behaves when digital infrastructure is near-universally diffused and institutional transaction costs are at their lowest. Using World Bank Enterprise Survey microdata for Singapore 2023, the analysis distinguishes a Technological Capability Index (TCI), capturing firm-internal capability depth, from a Digital Adoption Index (DAI), capturing foundational digital interfaces and transaction-enabling mechanisms.</w:t>
      </w:r>
      <w:r>
        <w:t xml:space="preserve"> </w:t>
      </w:r>
      <w:r>
        <w:t xml:space="preserve">Three findings emerge. First, within the observed export-intensity range, the internationalization–performance relationship is better characterized as predominantly positive with mild quadratic curvature than as a formally identified inverted-U. The fitted quadratic implies a turning point in the upper tail, but that point is imprecisely located and falls in a sparsely populated region of the data. Second, TCI is positively associated with labour productivity, while no statistically distinguishable moderation by TCI is detected under the present design. Third, DAI does not exhibit a large uniform productivity premium across firms; instead, its association with productivity becomes more positive at higher levels of export intensity, with the clearest signal concentrated in the high-export tail. Taken together, the findings provide within-context evidence from Singapore that sharpens the distinction between technological capability and foundational digital adoption and suggests that digital adoption may function more as a contingent scaling resource than as a uniform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Consistent with this, the Singapore sample reveals that 82% of firms report zero exports, while only 3% exceed 50% foreign sales to total sales,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DAI as a scaling lever whose value is realised under export-intensity conditions rather than as a broad firm-level capability advantage. The evidence for this mechanism (H4: positive quadratic DAI×</w:t>
      </w:r>
      <m:oMath>
        <m:sSup>
          <m:e>
            <m:r>
              <m:rPr>
                <m:sty m:val="p"/>
              </m:rPr>
              <m:t>F</m:t>
            </m:r>
            <m:r>
              <m:rPr>
                <m:sty m:val="p"/>
              </m:rPr>
              <m:t>S</m:t>
            </m:r>
            <m:r>
              <m:rPr>
                <m:sty m:val="p"/>
              </m:rPr>
              <m:t>T</m:t>
            </m:r>
            <m:r>
              <m:rPr>
                <m:sty m:val="p"/>
              </m:rPr>
              <m:t>S</m:t>
            </m:r>
          </m:e>
          <m:sup>
            <m:r>
              <m:t>2</m:t>
            </m:r>
          </m:sup>
        </m:sSup>
      </m:oMath>
      <w:r>
        <w:t xml:space="preserve"> </w:t>
      </w:r>
      <w:r>
        <w:t xml:space="preserve">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 DAI×FSTS interaction terms rejects the null of a uniform DAI–productivity association across the full FSTS range.</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868873"/>
            <wp:effectExtent b="0" l="0" r="0" t="0"/>
            <wp:docPr descr="Figure 1: Conceptual model. TCI and DAI moderating the I–P relationsh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6"/>
    <w:bookmarkEnd w:id="37"/>
    <w:bookmarkStart w:id="45"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0.18) and within DAI (mean r = 0.21)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44"/>
    <w:bookmarkEnd w:id="45"/>
    <w:bookmarkStart w:id="57" w:name="X121719332867ee227f0a04b486098cee978c6e6"/>
    <w:p>
      <w:pPr>
        <w:pStyle w:val="Heading2"/>
      </w:pPr>
      <w:r>
        <w:t xml:space="preserve">4 Results</w:t>
      </w:r>
    </w:p>
    <w:bookmarkStart w:id="46"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6"/>
    <w:bookmarkStart w:id="47"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7"/>
    <w:bookmarkStart w:id="48"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8"/>
    <w:bookmarkStart w:id="55"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753100" cy="3665854"/>
            <wp:effectExtent b="0" l="0" r="0" t="0"/>
            <wp:docPr descr="Figure 2: Marginal effects of DAI on log labour productivity at varying FSTS levels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753100" cy="3665854"/>
            <wp:effectExtent b="0" l="0" r="0" t="0"/>
            <wp:docPr descr="Figure 3: Predicted I–P curve with bootstrap confidence band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88.6 %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 ≈ 84.1 %,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5"/>
    <w:bookmarkStart w:id="56"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These effect sizes reinforce a cautious interpretation. A formal power analysis underscores the implication: at f²=0.018 with α=.05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 f²=0.018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 β=+2.821, joint F p=.003)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(F=6.32, p=.003),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(β = 0.264, SE = 0.138, t = 1.92, p = .055), indicating mild selection at the extensive margin of export participation. The key DAI×</w:t>
      </w:r>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(|Δ|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6"/>
    <w:bookmarkEnd w:id="57"/>
    <w:bookmarkStart w:id="60" w:name="X735612638e4e736e4693e459c258977262c0dfc"/>
    <w:p>
      <w:pPr>
        <w:pStyle w:val="Heading2"/>
      </w:pPr>
      <w:r>
        <w:t xml:space="preserve">5 Discussion</w:t>
      </w:r>
    </w:p>
    <w:bookmarkStart w:id="58"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while also underscoring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First,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Second, an</w:t>
      </w:r>
      <w:r>
        <w:t xml:space="preserve"> </w:t>
      </w:r>
      <w:r>
        <w:rPr>
          <w:iCs/>
          <w:i/>
        </w:rPr>
        <w:t xml:space="preserve">amplification</w:t>
      </w:r>
      <w:r>
        <w:t xml:space="preserve"> </w:t>
      </w:r>
      <w:r>
        <w:t xml:space="preserve">mechanism would predict that digital adoption raises the marginal productivity return to each unit of export intensity, effectively rotating the I–P curve upward for high-DAI firms rather than merely shifting it. The positive quadratic interaction (β=+3.119, p=.005) is most consistent with amplification: DAI specifically elevates productivity in the high-export tail where cross-border coordination demands are densest, and the positive quadratic form implies that DAI's productivity contribution accelerates rather than merely shifts with export intensity. Third,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but the absence of an instrument for digital adoption means selection cannot be fully ruled out. The most parsimonious reading is therefore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(β =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w:t>
      </w:r>
    </w:p>
    <w:bookmarkEnd w:id="58"/>
    <w:bookmarkStart w:id="59"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9"/>
    <w:bookmarkEnd w:id="60"/>
    <w:bookmarkStart w:id="61"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1"/>
    <w:bookmarkStart w:id="62"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2"/>
    <w:bookmarkStart w:id="64"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3">
        <w:r>
          <w:rPr>
            <w:rStyle w:val="Hyperlink"/>
          </w:rPr>
          <w:t xml:space="preserve">https://www.enterprisesurveys.org</w:t>
        </w:r>
      </w:hyperlink>
      <w:r>
        <w:t xml:space="preserve">. Analysis scripts to replicate the results are available from the corresponding author on reasonable request.</w:t>
      </w:r>
    </w:p>
    <w:p>
      <w:r>
        <w:pict>
          <v:rect style="width:0;height:1.5pt" o:hralign="center" o:hrstd="t" o:hr="t"/>
        </w:pict>
      </w:r>
    </w:p>
    <w:bookmarkEnd w:id="64"/>
    <w:bookmarkStart w:id="9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2">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3">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4">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9">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2">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3">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4">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5">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6">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7">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8">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9">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0">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1">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2">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3">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2026-05-21T00:11:21Z</dcterms:created>
  <dcterms:modified xsi:type="dcterms:W3CDTF">2026-05-21T00:11:21Z</dcterms:modified>
</cp:coreProperties>
</file>

<file path=docProps/custom.xml><?xml version="1.0" encoding="utf-8"?>
<Properties xmlns="http://schemas.openxmlformats.org/officeDocument/2006/custom-properties" xmlns:vt="http://schemas.openxmlformats.org/officeDocument/2006/docPropsVTypes"/>
</file>