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 Upper-middle (6 nước)</w:t>
      </w:r>
      <w:r>
        <w:t xml:space="preserve">: Trung Quốc, Malaysia, Thái Lan, Kazakhstan, Armenia, Georgia.</w:t>
      </w:r>
    </w:p>
    <w:p>
      <w:pPr>
        <w:numPr>
          <w:ilvl w:val="0"/>
          <w:numId w:val="1006"/>
        </w:numPr>
        <w:pStyle w:val="Compact"/>
      </w:pPr>
      <w:r>
        <w:rPr>
          <w:bCs/>
          <w:b/>
        </w:rPr>
        <w:t xml:space="preserve">(iv) Đang nổi — Emerging (7 nước)</w:t>
      </w:r>
      <w:r>
        <w:t xml:space="preserve">: Việt Nam, Indonesia, Philippines, Ấn Độ, Sri Lanka, Jordan, Mông Cổ.</w:t>
      </w:r>
    </w:p>
    <w:p>
      <w:pPr>
        <w:numPr>
          <w:ilvl w:val="0"/>
          <w:numId w:val="1006"/>
        </w:numPr>
        <w:pStyle w:val="Compact"/>
      </w:pP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81" w:name="X342156ccfd2c7f5ced860191aa03b7b6d212c37"/>
    <w:p>
      <w:pPr>
        <w:pStyle w:val="Heading2"/>
      </w:pPr>
      <w:r>
        <w:t xml:space="preserve">2.3 NỘI DUNG NGHIÊN CỨU</w:t>
      </w:r>
    </w:p>
    <w:bookmarkStart w:id="40" w:name="X675ab5af00d74d00e27b461f47ed6d6446b9560"/>
    <w:p>
      <w:pPr>
        <w:pStyle w:val="Heading3"/>
      </w:pPr>
      <w:r>
        <w:t xml:space="preserve">2.3.1 Cơ sở lý luận về hiệu quả hoạt động kinh doanh</w:t>
      </w:r>
    </w:p>
    <w:bookmarkStart w:id="34"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82%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39"/>
    <w:bookmarkEnd w:id="40"/>
    <w:bookmarkStart w:id="45" w:name="X98f20b91300399974782a05c423861b6489fac2"/>
    <w:p>
      <w:pPr>
        <w:pStyle w:val="Heading3"/>
      </w:pPr>
      <w:r>
        <w:t xml:space="preserve">2.3.2 Khung phân loại thể chế ICRV</w:t>
      </w:r>
    </w:p>
    <w:bookmarkStart w:id="41"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1"/>
    <w:bookmarkStart w:id="42" w:name="X5cfc458f0cff94dfd38d9df18032fbc55802577"/>
    <w:p>
      <w:pPr>
        <w:pStyle w:val="Heading4"/>
      </w:pPr>
      <w:r>
        <w:t xml:space="preserve">2.3.2.2 Tiêu chí phân loại sáu nhóm</w:t>
      </w:r>
    </w:p>
    <w:p>
      <w:pPr>
        <w:pStyle w:val="FirstParagraph"/>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p>
      <w:pPr>
        <w:pStyle w:val="BodyTex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p>
      <w:pPr>
        <w:pStyle w:val="BodyTex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p>
      <w:pPr>
        <w:pStyle w:val="BodyTex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p>
      <w:pPr>
        <w:pStyle w:val="BodyTex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p>
      <w:pPr>
        <w:pStyle w:val="BodyTex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bookmarkEnd w:id="42"/>
    <w:bookmarkStart w:id="43"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(1,4% pool).</w:t>
      </w:r>
    </w:p>
    <w:bookmarkEnd w:id="43"/>
    <w:bookmarkStart w:id="44"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U ngược nhẹ / tuyến tính dương; điểm uốn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nhà nước tô phân phối lại</w:t>
            </w:r>
          </w:p>
        </w:tc>
      </w:tr>
      <w:tr>
        <w:tc>
          <w:tcPr/>
          <w:p>
            <w:pPr>
              <w:pStyle w:val="Compact"/>
              <w:jc w:val="left"/>
            </w:pPr>
            <w:r>
              <w:t xml:space="preserve">III — Upper-mid</w:t>
            </w:r>
          </w:p>
        </w:tc>
        <w:tc>
          <w:tcPr/>
          <w:p>
            <w:pPr>
              <w:pStyle w:val="Compact"/>
              <w:jc w:val="left"/>
            </w:pPr>
            <w:r>
              <w:t xml:space="preserve">0,00→+0,80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U ngược; điểm uốn ~47% (CHN Đỗ &amp; Phan, 2026)</w:t>
            </w:r>
          </w:p>
        </w:tc>
      </w:tr>
      <w:tr>
        <w:tc>
          <w:tcPr/>
          <w:p>
            <w:pPr>
              <w:pStyle w:val="Compact"/>
              <w:jc w:val="left"/>
            </w:pPr>
            <w:r>
              <w:t xml:space="preserve">IV — Emerging</w:t>
            </w:r>
          </w:p>
        </w:tc>
        <w:tc>
          <w:tcPr/>
          <w:p>
            <w:pPr>
              <w:pStyle w:val="Compact"/>
              <w:jc w:val="left"/>
            </w:pPr>
            <w:r>
              <w:t xml:space="preserve">-0,50→0,00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U ngược; điểm uốn 39–46% (VNM) — bẫy chuyển hướng nguồn lực</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voids thể chế → đổi mới bằng nguồn lực hạn chế</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 VEFR, JABS, JFAR, MIR under review).</w:t>
      </w:r>
    </w:p>
    <w:p>
      <w:r>
        <w:pict>
          <v:rect style="width:0;height:1.5pt" o:hralign="center" o:hrstd="t" o:hr="t"/>
        </w:pict>
      </w:r>
    </w:p>
    <w:bookmarkEnd w:id="44"/>
    <w:bookmarkEnd w:id="45"/>
    <w:bookmarkStart w:id="49" w:name="X7a4557ec5f328bbc85d5a4ed1bb75ea10e661ff"/>
    <w:p>
      <w:pPr>
        <w:pStyle w:val="Heading3"/>
      </w:pPr>
      <w:r>
        <w:t xml:space="preserve">2.3.3 Thực trạng năng suất lao động và quốc tế hóa</w:t>
      </w:r>
    </w:p>
    <w:bookmarkStart w:id="46"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6"/>
    <w:bookmarkStart w:id="47"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7"/>
    <w:bookmarkStart w:id="48"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8"/>
    <w:bookmarkEnd w:id="49"/>
    <w:bookmarkStart w:id="53" w:name="X48a64f0ab0a551639b88ae683205b88fc505339"/>
    <w:p>
      <w:pPr>
        <w:pStyle w:val="Heading3"/>
      </w:pPr>
      <w:r>
        <w:t xml:space="preserve">2.3.4 Đổi mới sáng tạo và năng lực số hóa</w:t>
      </w:r>
    </w:p>
    <w:bookmarkStart w:id="50"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0"/>
    <w:bookmarkStart w:id="51"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51"/>
    <w:bookmarkStart w:id="52" w:name="X039eefd029479bc7c4b04d536a9a2c0066f7bae"/>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 "số hóa làm giảm năng suất ở Singapore/Hàn Quốc" —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w:t>
      </w:r>
      <w:r>
        <w:t xml:space="preserve">— phạm vi khiêm tốn và phản ánh đúng thực tế đo lường.</w:t>
      </w:r>
    </w:p>
    <w:p>
      <w:r>
        <w:pict>
          <v:rect style="width:0;height:1.5pt" o:hralign="center" o:hrstd="t" o:hr="t"/>
        </w:pict>
      </w:r>
    </w:p>
    <w:bookmarkEnd w:id="52"/>
    <w:bookmarkEnd w:id="53"/>
    <w:bookmarkStart w:id="56" w:name="X72eb40a6f7e25bc137b858c80c8b2c164b34062"/>
    <w:p>
      <w:pPr>
        <w:pStyle w:val="Heading3"/>
      </w:pPr>
      <w:r>
        <w:t xml:space="preserve">2.3.5 Cấu trúc doanh nghiệp</w:t>
      </w:r>
    </w:p>
    <w:bookmarkStart w:id="54"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54"/>
    <w:bookmarkStart w:id="55"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5"/>
    <w:bookmarkEnd w:id="56"/>
    <w:bookmarkStart w:id="62" w:name="Xb5f5053f24178deaae76fd6a0b7517dcbde3c2b"/>
    <w:p>
      <w:pPr>
        <w:pStyle w:val="Heading3"/>
      </w:pPr>
      <w:r>
        <w:t xml:space="preserve">2.3.6 Biến thiên theo thời gian (2009–2025)</w:t>
      </w:r>
    </w:p>
    <w:bookmarkStart w:id="57"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7"/>
    <w:bookmarkStart w:id="58"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8"/>
    <w:bookmarkStart w:id="59"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theo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9"/>
    <w:bookmarkStart w:id="60" w:name="Xba69c568898f5be6dd187064545e4b695772442"/>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60"/>
    <w:bookmarkStart w:id="61"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 "số hóa tăng, xuất khẩu giảm";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 "số hóa cao" (FJI, MDV) so với "cô lập nông thôn" (KIR)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61"/>
    <w:bookmarkEnd w:id="62"/>
    <w:bookmarkStart w:id="71" w:name="Xd6626b244661b808c75b098a6548f556384e2d4"/>
    <w:p>
      <w:pPr>
        <w:pStyle w:val="Heading3"/>
      </w:pPr>
      <w:r>
        <w:t xml:space="preserve">2.3.7 Bảy tiểu cảnh điển hình</w:t>
      </w:r>
    </w:p>
    <w:bookmarkStart w:id="63" w:name="Xcff4d6e38b2807e38398c46cc003f19f0870721"/>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3"/>
    <w:bookmarkStart w:id="64" w:name="X7dae8bd91b7a66085efb248b8743b187c1ad134"/>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64"/>
    <w:bookmarkStart w:id="65" w:name="Xc0d0a4ac1970454ec7a9406872ce19583983fc7"/>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5"/>
    <w:bookmarkStart w:id="66" w:name="X277549c0c2e07611a176f54ee466361ef9e7c40"/>
    <w:p>
      <w:pPr>
        <w:pStyle w:val="Heading4"/>
      </w:pPr>
      <w:r>
        <w:t xml:space="preserve">2.3.7.4 Trung Quốc (n=4.889)</w:t>
      </w:r>
    </w:p>
    <w:p>
      <w:pPr>
        <w:pStyle w:val="FirstParagraph"/>
      </w:pPr>
      <w:r>
        <w:t xml:space="preserve">FSTS 10,9% → 8,8%; FDI ≥10% chiếm 6,0%. Quan hệ FSTS – năng suất là hàm bậc ba với điểm uốn ~47,8%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6"/>
    <w:bookmarkStart w:id="67" w:name="X2e3bf564c07513beffd6d89139670937864989e"/>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7"/>
    <w:bookmarkStart w:id="68" w:name="Xd73094d8bef136e9846d3fa666530217d2cc4a8"/>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8"/>
    <w:bookmarkStart w:id="69" w:name="Xab836cafea807ed77f15b21cd94cc6b892d6d3c"/>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9"/>
    <w:bookmarkStart w:id="70"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70"/>
    <w:bookmarkEnd w:id="71"/>
    <w:bookmarkStart w:id="75" w:name="X268ac3e7736b22d5a7e7bb0dd0db24ee7c9a0fe"/>
    <w:p>
      <w:pPr>
        <w:pStyle w:val="Heading3"/>
      </w:pPr>
      <w:r>
        <w:t xml:space="preserve">2.3.8 Yếu tố giải thích sơ bộ</w:t>
      </w:r>
    </w:p>
    <w:bookmarkStart w:id="72"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72"/>
    <w:bookmarkStart w:id="73" w:name="X787ef546d85dd073220df47ad86cf87544d1d07"/>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(kênh quan hệ, Hambrick &amp; Mason, 1984) nhưng không có ý nghĩa thống kê tại Advanced.</w:t>
      </w:r>
    </w:p>
    <w:bookmarkEnd w:id="73"/>
    <w:bookmarkStart w:id="74" w:name="Xade5b455581c2336d77181f962fe777af946445"/>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4"/>
    <w:bookmarkEnd w:id="75"/>
    <w:bookmarkStart w:id="80" w:name="Xf043498bf1729b29cfab4f032a23e6f500dd3c3"/>
    <w:p>
      <w:pPr>
        <w:pStyle w:val="Heading3"/>
      </w:pPr>
      <w:r>
        <w:t xml:space="preserve">2.3.9 Thảo luận tổng hợp</w:t>
      </w:r>
    </w:p>
    <w:bookmarkStart w:id="76"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6"/>
    <w:bookmarkStart w:id="77" w:name="X46667155284f97c200a5c64899f2a21c5cf33a6"/>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7"/>
    <w:bookmarkStart w:id="78" w:name="Xa66085143ffff6413371519ab41b3c4856371a5"/>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8"/>
    <w:bookmarkStart w:id="79"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9"/>
    <w:bookmarkEnd w:id="80"/>
    <w:bookmarkEnd w:id="81"/>
    <w:bookmarkStart w:id="86" w:name="X823a172d700e07156f307d64ebb51dd68a5ba8d"/>
    <w:p>
      <w:pPr>
        <w:pStyle w:val="Heading2"/>
      </w:pPr>
      <w:r>
        <w:t xml:space="preserve">2.4 KẾT LUẬN</w:t>
      </w:r>
    </w:p>
    <w:bookmarkStart w:id="82"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 "Advanced" nhưng pattern năng suất doanh nghiệp hoàn toàn khác nhau.</w:t>
      </w:r>
    </w:p>
    <w:bookmarkEnd w:id="82"/>
    <w:bookmarkStart w:id="85" w:name="X7e7dd0c69ae63ee797d467ac3735f8a7b3df6f2"/>
    <w:p>
      <w:pPr>
        <w:pStyle w:val="Heading3"/>
      </w:pPr>
      <w:r>
        <w:t xml:space="preserve">2.4.2 Hàm ý và đề xuất</w:t>
      </w:r>
    </w:p>
    <w:bookmarkStart w:id="83"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TCI cao → điểm uốn cao → chịu đựng được mức độ quốc tế hóa cao hơn.</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83"/>
    <w:bookmarkStart w:id="84"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84"/>
    <w:bookmarkEnd w:id="85"/>
    <w:bookmarkEnd w:id="86"/>
    <w:bookmarkStart w:id="87"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7"/>
    <w:bookmarkStart w:id="89" w:name="phụ-lục"/>
    <w:p>
      <w:pPr>
        <w:pStyle w:val="Heading2"/>
      </w:pPr>
      <w:r>
        <w:t xml:space="preserve">PHỤ LỤC</w:t>
      </w:r>
    </w:p>
    <w:bookmarkStart w:id="88"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8"/>
    <w:bookmarkEnd w:id="8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2026-05-16T12:17:15Z</dcterms:created>
  <dcterms:modified xsi:type="dcterms:W3CDTF">2026-05-16T12:17:15Z</dcterms:modified>
</cp:coreProperties>
</file>

<file path=docProps/custom.xml><?xml version="1.0" encoding="utf-8"?>
<Properties xmlns="http://schemas.openxmlformats.org/officeDocument/2006/custom-properties" xmlns:vt="http://schemas.openxmlformats.org/officeDocument/2006/docPropsVTypes"/>
</file>