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 Digital Adoption Index (DAI) điều tiết theo ngữ cảnh và phân biệt với TCI; H4 đặc điểm nhà quản trị điều tiết;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 Digital Adoption Index (DAI) moderating contingently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 (đặc điểm nhà quản trị điều tiết). Doanh nghiệp có nhà quản trị kinh nghiệm cao, học vấn cao, kinh nghiệm quốc tế chuyển hóa quốc tế hóa thành hiệu quả tốt hơn thông qua hai kênh: chất lượng quyết định (tránh quốc tế hóa sớm) và năng lực điều phối (quản lý phức tạp đa thị trường).</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 DAI nguồn lực mở rộng tình huống</w:t>
            </w:r>
          </w:p>
        </w:tc>
        <w:tc>
          <w:tcPr/>
          <w:p>
            <w:pPr>
              <w:pStyle w:val="Compact"/>
              <w:jc w:val="left"/>
            </w:pPr>
            <w:r>
              <w:t xml:space="preserve">P4: DAI×FSTS² = +3,119; P3: IV null (β = 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(H4)</w:t>
            </w:r>
          </w:p>
        </w:tc>
        <w:tc>
          <w:tcPr/>
          <w:p>
            <w:pPr>
              <w:pStyle w:val="Compact"/>
              <w:jc w:val="left"/>
            </w:pPr>
            <w:r>
              <w:t xml:space="preserve">H4</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w:t>
            </w:r>
          </w:p>
        </w:tc>
        <w:tc>
          <w:tcPr/>
          <w:p>
            <w:pPr>
              <w:pStyle w:val="Compact"/>
              <w:jc w:val="left"/>
            </w:pPr>
            <w:r>
              <w:t xml:space="preserve">H4</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w:t>
            </w:r>
          </w:p>
        </w:tc>
        <w:tc>
          <w:tcPr/>
          <w:p>
            <w:pPr>
              <w:pStyle w:val="Compact"/>
              <w:jc w:val="left"/>
            </w:pPr>
            <w:r>
              <w:t xml:space="preserve">H4</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 và H6 là hỗn hợp xác nhận/khám phá (hướng rõ nhưng magnitude khám phá).</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h3--dai-điều-tiết-theo-ngữ-cảnh-cdcm"/>
    <w:p>
      <w:pPr>
        <w:pStyle w:val="Heading5"/>
      </w:pPr>
      <w:r>
        <w:t xml:space="preserve">H3 — DAI điều tiết theo ngữ cảnh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Digital Adoption Index (DAI) không hoạt động như một phần thưởng năng suất đồng nhất mà như một nguồn lực mở rộng tình huống theo CDCM: tác động của DAI lên ln(LP) phụ thuộc vào chế độ thể chế (ICRV), mức FSTS, và mức độ bão hòa số. Cụ thể: (a) β(FSTS²×DAI) &gt; 0 trong Nhóm I; (b) tác động DAI yếu hoặc phụ thuộc chọn lựa trong Nhóm IV; (c) TCI và DAI là hai cấu trúc phân biệt và không thể thay thế nhau.</w:t>
      </w:r>
    </w:p>
    <w:bookmarkEnd w:id="58"/>
    <w:bookmarkStart w:id="59" w:name="h4--đặc-điểm-nhà-quản-trị-điều-tiết"/>
    <w:p>
      <w:pPr>
        <w:pStyle w:val="Heading5"/>
      </w:pPr>
      <w:r>
        <w:t xml:space="preserve">H4 — Đặc điểm nhà quản trị điều tiết</w:t>
      </w:r>
    </w:p>
    <w:p>
      <w:pPr>
        <w:pStyle w:val="FirstParagraph"/>
      </w:pPr>
      <w:r>
        <w:t xml:space="preserve">Cơ sở lý thuyết: Upper Echelons Theory (Hambrick &amp; Mason, 1984; Hambrick, 2007) cho rằng quyết định chiến lược phản ánh đặc điểm của nhà quản trị cấp cao. Trong bối cảnh WBES, biến nhà quản trị được đo bởi số năm kinh nghiệm quản lý (b5), trình độ học vấn (b7a), giới tính (b7). Cơ chế điều tiết hoạt động qua hai kênh: chất lượng quyết định (tránh quốc tế hóa sớm) và năng lực điều phối (quản lý phức tạp đa thị trường ở FSTS cao).</w:t>
      </w:r>
    </w:p>
    <w:p>
      <w:pPr>
        <w:pStyle w:val="BodyText"/>
      </w:pPr>
      <w:r>
        <w:t xml:space="preserve">H4: Kinh nghiệm của nhà quản trị cấp cao (exp_manager) điều tiết tích cực quan hệ FSTS → ln(LP): β(FSTS×exp_manager) &gt; 0, nghĩa là với cùng mức FSTS, doanh nghiệp có nhà quản trị kinh nghiệm hơn đạt hiệu quả cao hơn. Học vấn và giới tính được kiểm định như biến điều tiết khám phá.</w:t>
      </w:r>
    </w:p>
    <w:p>
      <w:pPr>
        <w:pStyle w:val="BodyText"/>
      </w:pPr>
      <w:r>
        <w:t xml:space="preserve">Phạm vi kiểm định: do WBES không đo trực tiếp kinh nghiệm quốc tế mà chỉ đo tổng số năm kinh nghiệm, H4 được kiểm định với biến đại diện. Kết quả là chỉ báo, không phải kiểm định trực tiếp cơ chế Upper Echelons — một hạn chế cần thừa nhận rõ.</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w:t>
            </w:r>
          </w:p>
        </w:tc>
        <w:tc>
          <w:tcPr/>
          <w:p>
            <w:pPr>
              <w:pStyle w:val="Compact"/>
              <w:jc w:val="left"/>
            </w:pPr>
            <w:r>
              <w:t xml:space="preserve">DAI tình huống</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Phụ thuộc ngữ cảnh (β &gt; 0 ở Nhóm I)</w:t>
            </w:r>
          </w:p>
        </w:tc>
        <w:tc>
          <w:tcPr/>
          <w:p>
            <w:pPr>
              <w:pStyle w:val="Compact"/>
              <w:jc w:val="left"/>
            </w:pPr>
            <w:r>
              <w:t xml:space="preserve">P4 +3,119; P3 IV null</w:t>
            </w:r>
          </w:p>
        </w:tc>
      </w:tr>
      <w:tr>
        <w:tc>
          <w:tcPr/>
          <w:p>
            <w:pPr>
              <w:pStyle w:val="Compact"/>
              <w:jc w:val="left"/>
            </w:pPr>
            <w:r>
              <w:t xml:space="preserve">H4</w:t>
            </w:r>
          </w:p>
        </w:tc>
        <w:tc>
          <w:tcPr/>
          <w:p>
            <w:pPr>
              <w:pStyle w:val="Compact"/>
              <w:jc w:val="left"/>
            </w:pPr>
            <w:r>
              <w:t xml:space="preserve">Quản trị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w:t>
            </w:r>
          </w:p>
        </w:tc>
        <w:tc>
          <w:tcPr/>
          <w:p>
            <w:pPr>
              <w:pStyle w:val="Compact"/>
              <w:jc w:val="left"/>
            </w:pPr>
            <w:r>
              <w:t xml:space="preserve">(WBES b5, b7a,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Sáu giả thuyết tạo thành hệ thống logic nhất quán: H1 (phi tuyến) là trọng tâm; H2 (TCI) và H3 (DAI) phân rã cơ chế năng lực doanh nghiệp; H4 (Quản trị) bổ sung tầng Upper Echelons;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m5---điều-tiết-nhà-quản-trị-kiểm-định-h4"/>
    <w:p>
      <w:pPr>
        <w:pStyle w:val="Heading5"/>
      </w:pPr>
      <w:r>
        <w:t xml:space="preserve">M5 — + Điều tiết nhà quản trị (kiểm định H4)</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 biến chính; educ_manager (b7a) — biến phụ; gender_manager (b7) — khám phá.</w:t>
      </w:r>
      <w:r>
        <w:t xml:space="preserve"> </w:t>
      </w:r>
      <w:r>
        <w:t xml:space="preserve">Kỳ vọng: β₄(FSTS×exp_manager) &gt; 0.</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 &gt; 0 Nhóm I; IV check</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w:t>
            </w:r>
          </w:p>
        </w:tc>
        <w:tc>
          <w:tcPr/>
          <w:p>
            <w:pPr>
              <w:pStyle w:val="Compact"/>
              <w:jc w:val="left"/>
            </w:pPr>
            <w:r>
              <w:t xml:space="preserve">β₄(FSTS×exp) &gt; 0</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 (DAI tình huống) FSTS²×DAI dương trong Nhóm I, phụ thuộc chọn lựa trong Nhóm IV; H4 (Quản trị) exp_manager×FSTS dương;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 bị hạn chế do WBES không đo khoảng cách tâm lý, gắn kết mạng lưới quốc tế, hay cấu trúc hội đồng quản trị đầy đủ. Kiểm định H4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8"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End w:id="128"/>
    <w:bookmarkEnd w:id="12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2026-05-16T12:17:29Z</dcterms:created>
  <dcterms:modified xsi:type="dcterms:W3CDTF">2026-05-16T12:17:29Z</dcterms:modified>
</cp:coreProperties>
</file>

<file path=docProps/custom.xml><?xml version="1.0" encoding="utf-8"?>
<Properties xmlns="http://schemas.openxmlformats.org/officeDocument/2006/custom-properties" xmlns:vt="http://schemas.openxmlformats.org/officeDocument/2006/docPropsVTypes"/>
</file>