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School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a</w:t>
      </w:r>
      <w:r>
        <w:t xml:space="preserve"> </w:t>
      </w:r>
      <w:r>
        <w:rPr>
          <w:iCs/>
          <w:i/>
        </w:rPr>
        <w:t xml:space="preserve">digital saturation</w:t>
      </w:r>
      <w:r>
        <w:t xml:space="preserve"> </w:t>
      </w:r>
      <w:r>
        <w:t xml:space="preserve">condition in which the cross-sectional discriminatory power of foundational digital adoption is attenuated relative to less digitally mature institutional settings. The mechanism — that widely diffused technologies become hygiene factors and lose their cross-firm discriminatory power as cross-firm variance contracts toward a saturated ceiling — is well established in the technology-adoption diffusion literature (Rogers 1962; Bharadwaj et al. 2013). Our contribution is not to name this condition but to document its specific empirical signature in WBES Singapore 2023: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as an analytically ideal stress test rather than a convenient empirical setting: an environment in which the conditional logic of foundational digital adoption is most legible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(H3: positive quadratic</w:t>
      </w:r>
      <w:r>
        <w:t xml:space="preserve"> </w:t>
      </w:r>
      <m:oMath>
        <m:r>
          <m:rPr>
            <m:nor/>
            <m:sty m:val="p"/>
          </m:rPr>
          <m:t>DAI</m:t>
        </m:r>
        <m:r>
          <m:rPr>
            <m:sty m:val="p"/>
          </m:rPr>
          <m:t>×</m:t>
        </m:r>
        <m:sSup>
          <m:e>
            <m:r>
              <m:rPr>
                <m:nor/>
                <m:sty m:val="p"/>
              </m:rPr>
              <m:t>FSTS</m:t>
            </m:r>
          </m:e>
          <m:sup>
            <m:r>
              <m:t>2</m:t>
            </m:r>
          </m:sup>
        </m:sSup>
      </m:oMath>
      <w:r>
        <w:t xml:space="preserve"> </w:t>
      </w:r>
      <w:r>
        <w:t xml:space="preserve">interaction,</w:t>
      </w:r>
      <w:r>
        <w:t xml:space="preserve"> </w:t>
      </w:r>
      <m:oMath>
        <m:r>
          <m:t>β</m:t>
        </m:r>
      </m:oMath>
      <w:r>
        <w:t xml:space="preserve">=+3.119,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which combines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m:oMath>
        <m:r>
          <m:rPr>
            <m:nor/>
            <m:sty m:val="p"/>
          </m:rPr>
          <m:t>FSTS</m:t>
        </m:r>
        <m:r>
          <m:rPr>
            <m:sty m:val="p"/>
          </m:rPr>
          <m:t>×</m:t>
        </m:r>
        <m:r>
          <m:rPr>
            <m:nor/>
            <m:sty m:val="p"/>
          </m:rPr>
          <m:t>DAI</m:t>
        </m:r>
      </m:oMath>
      <w:r>
        <w:t xml:space="preserve"> </w:t>
      </w:r>
      <w:r>
        <w:t xml:space="preserve">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w:t>
      </w:r>
      <w:r>
        <w:t xml:space="preserve"> </w:t>
      </w:r>
      <m:oMath>
        <m:r>
          <m:rPr>
            <m:nor/>
            <m:sty m:val="p"/>
          </m:rPr>
          <m:t>FSTS</m:t>
        </m:r>
        <m:r>
          <m:rPr>
            <m:sty m:val="p"/>
          </m:rPr>
          <m:t>×</m:t>
        </m:r>
        <m:r>
          <m:rPr>
            <m:nor/>
            <m:sty m:val="p"/>
          </m:rPr>
          <m:t>DAI</m:t>
        </m:r>
      </m:oMath>
      <w:r>
        <w:t xml:space="preserve"> </w:t>
      </w:r>
      <w:r>
        <w:t xml:space="preserve">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w:t>
      </w:r>
      <w:r>
        <w:t xml:space="preserve"> </w:t>
      </w:r>
      <m:oMath>
        <m:sSup>
          <m:e>
            <m:r>
              <m:rPr>
                <m:nor/>
                <m:sty m:val="p"/>
              </m:rPr>
              <m:t>FSTS</m:t>
            </m:r>
          </m:e>
          <m:sup>
            <m:r>
              <m:t>2</m:t>
            </m:r>
          </m:sup>
        </m:sSup>
      </m:oMath>
      <w:r>
        <w:t xml:space="preserve">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 .303). H1-TCI: technological capability (</w:t>
      </w:r>
      <m:oMath>
        <m:sSub>
          <m:e>
            <m:r>
              <m:rPr>
                <m:nor/>
                <m:sty m:val="p"/>
              </m:rPr>
              <m:t>TCI</m:t>
            </m:r>
          </m:e>
          <m:sub>
            <m:r>
              <m:t>z</m:t>
            </m:r>
          </m:sub>
        </m:sSub>
      </m:oMath>
      <w:r>
        <w:t xml:space="preserve">,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w:t>
      </w:r>
      <w:r>
        <w:t xml:space="preserve"> </w:t>
      </w:r>
      <m:oMath>
        <m:r>
          <m:rPr>
            <m:sty m:val="p"/>
          </m:rPr>
          <m:t>≈</m:t>
        </m:r>
      </m:oMath>
      <w:r>
        <w:t xml:space="preserve"> </w:t>
      </w:r>
      <w:r>
        <w:t xml:space="preserve">84; power</w:t>
      </w:r>
      <w:r>
        <w:t xml:space="preserve"> </w:t>
      </w:r>
      <m:oMath>
        <m:r>
          <m:rPr>
            <m:sty m:val="p"/>
          </m:rPr>
          <m:t>≈</m:t>
        </m:r>
      </m:oMath>
      <w:r>
        <w:t xml:space="preserve"> </w:t>
      </w:r>
      <w:r>
        <w:t xml:space="preserve">16%), and provides a corroborating signal rather than independent identification. ICRV context: Singapore, Advanced I. Data: WBES 2023; N = 623.</w:t>
      </w:r>
    </w:p>
    <w:bookmarkEnd w:id="40"/>
    <w:bookmarkEnd w:id="41"/>
    <w:bookmarkStart w:id="51"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the WBES Vietnam 2009/2015 instrument analyzed in a companion paper by the present author group, where Tier-2 transaction items k33/k38 were not yet collected). The key result is that the</w:t>
      </w:r>
      <w:r>
        <w:t xml:space="preserve"> </w:t>
      </w:r>
      <m:oMath>
        <m:sSup>
          <m:e>
            <m:r>
              <m:rPr>
                <m:nor/>
                <m:sty m:val="p"/>
              </m:rPr>
              <m:t>FSTS</m:t>
            </m:r>
          </m:e>
          <m:sup>
            <m:r>
              <m:t>2</m:t>
            </m:r>
          </m:sup>
        </m:sSup>
        <m:r>
          <m:rPr>
            <m:sty m:val="p"/>
          </m:rPr>
          <m:t>×</m:t>
        </m:r>
        <m:r>
          <m:rPr>
            <m:nor/>
            <m:sty m:val="p"/>
          </m:rPr>
          <m:t>DAI</m:t>
        </m:r>
      </m:oMath>
      <w:r>
        <w:t xml:space="preserve"> </w:t>
      </w:r>
      <w:r>
        <w:t xml:space="preserve">quadratic interaction coefficient attenuates substantially, from</w:t>
      </w:r>
      <w:r>
        <w:t xml:space="preserve"> </w:t>
      </w:r>
      <m:oMath>
        <m:r>
          <m:t>β</m:t>
        </m:r>
      </m:oMath>
      <w:r>
        <w:t xml:space="preserve"> </w:t>
      </w:r>
      <w:r>
        <w:t xml:space="preserve">= +3.119 (p = .005) in the Tier-1+2 specification to a smaller and statistically weaker estimate, while the Tier-1+2 full model's adjusted</w:t>
      </w:r>
      <w:r>
        <w:t xml:space="preserve"> </w:t>
      </w:r>
      <m:oMath>
        <m:sSup>
          <m:e>
            <m:r>
              <m:t>R</m:t>
            </m:r>
          </m:e>
          <m:sup>
            <m:r>
              <m:t>2</m:t>
            </m:r>
          </m:sup>
        </m:sSup>
      </m:oMath>
      <w:r>
        <w:t xml:space="preserve"> </w:t>
      </w:r>
      <w:r>
        <w:t xml:space="preserve">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985ae65e21378cfd2c07e16fb9a8b07680cdc81"/>
    <w:p>
      <w:pPr>
        <w:pStyle w:val="Heading3"/>
      </w:pPr>
      <w:r>
        <w:t xml:space="preserve">3.2.5 Variable definitions</w:t>
      </w:r>
    </w:p>
    <w:p>
      <w:pPr>
        <w:pStyle w:val="FirstParagraph"/>
      </w:pPr>
      <w:r>
        <w:rPr>
          <w:bCs/>
          <w:b/>
        </w:rPr>
        <w:t xml:space="preserve">Table 0. Variable definitions and WBES item sources (Singapore 2023).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48"/>
    <w:bookmarkStart w:id="49"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baseline):</w:t>
      </w:r>
      <w:r>
        <w:t xml:space="preserve"> </w:t>
      </w:r>
      <w:r>
        <w:t xml:space="preserve">ln(LP)ᵢ =</w:t>
      </w:r>
      <w:r>
        <w:t xml:space="preserve"> </w:t>
      </w:r>
      <m:oMath>
        <m:r>
          <m:t>α</m:t>
        </m:r>
      </m:oMath>
      <w:r>
        <w:t xml:space="preserve"> </w:t>
      </w:r>
      <w:r>
        <w:t xml:space="preserve">+</w:t>
      </w:r>
      <w:r>
        <w:t xml:space="preserve"> </w:t>
      </w:r>
      <m:oMath>
        <m:r>
          <m:t>γ</m:t>
        </m:r>
      </m:oMath>
      <w:r>
        <w:t xml:space="preserve">₁ ln(Emp)ᵢ +</w:t>
      </w:r>
      <w:r>
        <w:t xml:space="preserve"> </w:t>
      </w:r>
      <m:oMath>
        <m:r>
          <m:t>γ</m:t>
        </m:r>
      </m:oMath>
      <w:r>
        <w:t xml:space="preserve">₂ FirmAgeᵢ +</w:t>
      </w:r>
      <w:r>
        <w:t xml:space="preserve"> </w:t>
      </w:r>
      <m:oMath>
        <m:r>
          <m:t>γ</m:t>
        </m:r>
      </m:oMath>
      <w:r>
        <w:t xml:space="preserve">₃ ForeignOwnᵢ + δ_s +</w:t>
      </w:r>
      <w:r>
        <w:t xml:space="preserve"> </w:t>
      </w:r>
      <m:oMath>
        <m:r>
          <m:t>ϵ</m:t>
        </m:r>
      </m:oMath>
      <w:r>
        <w:t xml:space="preserve">ᵢ</w:t>
      </w:r>
    </w:p>
    <w:p>
      <w:pPr>
        <w:pStyle w:val="BodyText"/>
      </w:pPr>
      <w:r>
        <w:rPr>
          <w:bCs/>
          <w:b/>
        </w:rPr>
        <w:t xml:space="preserve">M1 (Linear FSTS):</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r>
          <m:t>γ</m:t>
        </m:r>
      </m:oMath>
      <w:r>
        <w:t xml:space="preserve">·Xᵢ + δ_s +</w:t>
      </w:r>
      <w:r>
        <w:t xml:space="preserve"> </w:t>
      </w:r>
      <m:oMath>
        <m:r>
          <m:t>ϵ</m:t>
        </m:r>
      </m:oMath>
      <w:r>
        <w:t xml:space="preserve">ᵢ</w:t>
      </w:r>
    </w:p>
    <w:p>
      <w:pPr>
        <w:pStyle w:val="BodyText"/>
      </w:pPr>
      <w:r>
        <w:rPr>
          <w:bCs/>
          <w:b/>
        </w:rPr>
        <w:t xml:space="preserve">M2 (Quadratic FSTS, H1 baseline curvature test):</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r>
          <m:t>γ</m:t>
        </m:r>
      </m:oMath>
      <w:r>
        <w:t xml:space="preserve">·Xᵢ + δ_s +</w:t>
      </w:r>
      <w:r>
        <w:t xml:space="preserve"> </w:t>
      </w:r>
      <m:oMath>
        <m:r>
          <m:t>ϵ</m:t>
        </m:r>
      </m:oMath>
      <w:r>
        <w:t xml:space="preserve">ᵢ</w:t>
      </w:r>
      <w:r>
        <w:t xml:space="preserve"> </w:t>
      </w:r>
      <w:r>
        <w:t xml:space="preserve">Turning point: TP* = −</w:t>
      </w:r>
      <m:oMath>
        <m:sSub>
          <m:e>
            <m:r>
              <m:t>β</m:t>
            </m:r>
          </m:e>
          <m:sub>
            <m:r>
              <m:t>1</m:t>
            </m:r>
          </m:sub>
        </m:sSub>
      </m:oMath>
      <w:r>
        <w:t xml:space="preserve"> </w:t>
      </w:r>
      <w:r>
        <w:t xml:space="preserve">/ (2</w:t>
      </w:r>
      <m:oMath>
        <m:sSub>
          <m:e>
            <m:r>
              <m:t>β</m:t>
            </m:r>
          </m:e>
          <m:sub>
            <m:r>
              <m:t>2</m:t>
            </m:r>
          </m:sub>
        </m:sSub>
      </m:oMath>
      <w:r>
        <w:t xml:space="preserve">) + mean(FSTS) [H1: expected TP support-constrained; LM test p = .303]</w:t>
      </w:r>
    </w:p>
    <w:p>
      <w:pPr>
        <w:pStyle w:val="BodyText"/>
      </w:pPr>
      <w:r>
        <w:rPr>
          <w:bCs/>
          <w:b/>
        </w:rPr>
        <w:t xml:space="preserve">M3 (TCI direct, H1-TCI level effect):</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sSub>
          <m:e>
            <m:r>
              <m:t>β</m:t>
            </m:r>
          </m:e>
          <m:sub>
            <m:r>
              <m:t>3</m:t>
            </m:r>
          </m:sub>
        </m:sSub>
      </m:oMath>
      <w:r>
        <w:t xml:space="preserve"> </w:t>
      </w:r>
      <m:oMath>
        <m:sSub>
          <m:e>
            <m:r>
              <m:rPr>
                <m:nor/>
                <m:sty m:val="p"/>
              </m:rPr>
              <m:t>TCI</m:t>
            </m:r>
          </m:e>
          <m:sub>
            <m:r>
              <m:t>z</m:t>
            </m:r>
          </m:sub>
        </m:sSub>
      </m:oMath>
      <w:r>
        <w:t xml:space="preserve">ᵢ +</w:t>
      </w:r>
      <w:r>
        <w:t xml:space="preserve"> </w:t>
      </w:r>
      <m:oMath>
        <m:r>
          <m:t>γ</m:t>
        </m:r>
      </m:oMath>
      <w:r>
        <w:t xml:space="preserve">·Xᵢ + δ_s +</w:t>
      </w:r>
      <w:r>
        <w:t xml:space="preserve"> </w:t>
      </w:r>
      <m:oMath>
        <m:r>
          <m:t>ϵ</m:t>
        </m:r>
      </m:oMath>
      <w:r>
        <w:t xml:space="preserve">ᵢ</w:t>
      </w:r>
    </w:p>
    <w:p>
      <w:pPr>
        <w:pStyle w:val="BodyText"/>
      </w:pPr>
      <w:r>
        <w:rPr>
          <w:bCs/>
          <w:b/>
        </w:rPr>
        <w:t xml:space="preserve">M4 (TCI moderation, supplementary):</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sSub>
          <m:e>
            <m:r>
              <m:t>β</m:t>
            </m:r>
          </m:e>
          <m:sub>
            <m:r>
              <m:t>3</m:t>
            </m:r>
          </m:sub>
        </m:sSub>
      </m:oMath>
      <w:r>
        <w:t xml:space="preserve"> </w:t>
      </w:r>
      <m:oMath>
        <m:sSub>
          <m:e>
            <m:r>
              <m:rPr>
                <m:nor/>
                <m:sty m:val="p"/>
              </m:rPr>
              <m:t>TCI</m:t>
            </m:r>
          </m:e>
          <m:sub>
            <m:r>
              <m:t>z</m:t>
            </m:r>
          </m:sub>
        </m:sSub>
      </m:oMath>
      <w:r>
        <w:t xml:space="preserve">ᵢ +</w:t>
      </w:r>
      <w:r>
        <w:t xml:space="preserve"> </w:t>
      </w:r>
      <m:oMath>
        <m:sSub>
          <m:e>
            <m:r>
              <m:t>β</m:t>
            </m:r>
          </m:e>
          <m:sub>
            <m:r>
              <m:t>4</m:t>
            </m:r>
          </m:sub>
        </m:sSub>
      </m:oMath>
      <w:r>
        <w:t xml:space="preserve">(</w:t>
      </w:r>
      <m:oMath>
        <m:sSub>
          <m:e>
            <m:r>
              <m:rPr>
                <m:nor/>
                <m:sty m:val="p"/>
              </m:rPr>
              <m:t>FSTS</m:t>
            </m:r>
          </m:e>
          <m:sub>
            <m:r>
              <m:t>c</m:t>
            </m:r>
          </m:sub>
        </m:sSub>
      </m:oMath>
      <w:r>
        <w:t xml:space="preserve">ᵢ</w:t>
      </w:r>
      <w:r>
        <w:t xml:space="preserve"> </w:t>
      </w:r>
      <m:oMath>
        <m:r>
          <m:rPr>
            <m:sty m:val="p"/>
          </m:rPr>
          <m:t>×</m:t>
        </m:r>
      </m:oMath>
      <w:r>
        <w:t xml:space="preserve"> </w:t>
      </w:r>
      <m:oMath>
        <m:sSub>
          <m:e>
            <m:r>
              <m:rPr>
                <m:nor/>
                <m:sty m:val="p"/>
              </m:rPr>
              <m:t>TCI</m:t>
            </m:r>
          </m:e>
          <m:sub>
            <m:r>
              <m:t>z</m:t>
            </m:r>
          </m:sub>
        </m:sSub>
      </m:oMath>
      <w:r>
        <w:t xml:space="preserve">ᵢ) +</w:t>
      </w:r>
      <w:r>
        <w:t xml:space="preserve"> </w:t>
      </w:r>
      <m:oMath>
        <m:sSub>
          <m:e>
            <m:r>
              <m:t>β</m:t>
            </m:r>
          </m:e>
          <m:sub>
            <m:r>
              <m:t>5</m:t>
            </m:r>
          </m:sub>
        </m:sSub>
      </m:oMath>
      <w:r>
        <w:t xml:space="preserve">(</w:t>
      </w:r>
      <m:oMath>
        <m:sSubSup>
          <m:e>
            <m:r>
              <m:rPr>
                <m:nor/>
                <m:sty m:val="p"/>
              </m:rPr>
              <m:t>FSTS</m:t>
            </m:r>
          </m:e>
          <m:sub>
            <m:r>
              <m:t>c</m:t>
            </m:r>
          </m:sub>
          <m:sup>
            <m:r>
              <m:t>2</m:t>
            </m:r>
          </m:sup>
        </m:sSubSup>
      </m:oMath>
      <w:r>
        <w:t xml:space="preserve">ᵢ</w:t>
      </w:r>
      <w:r>
        <w:t xml:space="preserve"> </w:t>
      </w:r>
      <m:oMath>
        <m:r>
          <m:rPr>
            <m:sty m:val="p"/>
          </m:rPr>
          <m:t>×</m:t>
        </m:r>
      </m:oMath>
      <w:r>
        <w:t xml:space="preserve"> </w:t>
      </w:r>
      <m:oMath>
        <m:sSub>
          <m:e>
            <m:r>
              <m:rPr>
                <m:nor/>
                <m:sty m:val="p"/>
              </m:rPr>
              <m:t>TCI</m:t>
            </m:r>
          </m:e>
          <m:sub>
            <m:r>
              <m:t>z</m:t>
            </m:r>
          </m:sub>
        </m:sSub>
      </m:oMath>
      <w:r>
        <w:t xml:space="preserve">ᵢ) +</w:t>
      </w:r>
      <w:r>
        <w:t xml:space="preserve"> </w:t>
      </w:r>
      <m:oMath>
        <m:r>
          <m:t>γ</m:t>
        </m:r>
      </m:oMath>
      <w:r>
        <w:t xml:space="preserve">·Xᵢ + δ_s +</w:t>
      </w:r>
      <w:r>
        <w:t xml:space="preserve"> </w:t>
      </w:r>
      <m:oMath>
        <m:r>
          <m:t>ϵ</m:t>
        </m:r>
      </m:oMath>
      <w:r>
        <w:t xml:space="preserve">ᵢ</w:t>
      </w:r>
    </w:p>
    <w:p>
      <w:pPr>
        <w:pStyle w:val="BodyText"/>
      </w:pPr>
      <w:r>
        <w:rPr>
          <w:bCs/>
          <w:b/>
        </w:rPr>
        <w:t xml:space="preserve">M5 (DAI direct, H2 test):</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sSub>
          <m:e>
            <m:r>
              <m:t>β</m:t>
            </m:r>
          </m:e>
          <m:sub>
            <m:r>
              <m:t>3</m:t>
            </m:r>
          </m:sub>
        </m:sSub>
      </m:oMath>
      <w:r>
        <w:t xml:space="preserve"> </w:t>
      </w:r>
      <m:oMath>
        <m:sSub>
          <m:e>
            <m:r>
              <m:rPr>
                <m:nor/>
                <m:sty m:val="p"/>
              </m:rPr>
              <m:t>DAI</m:t>
            </m:r>
          </m:e>
          <m:sub>
            <m:r>
              <m:t>z</m:t>
            </m:r>
          </m:sub>
        </m:sSub>
      </m:oMath>
      <w:r>
        <w:t xml:space="preserve">ᵢ +</w:t>
      </w:r>
      <w:r>
        <w:t xml:space="preserve"> </w:t>
      </w:r>
      <m:oMath>
        <m:r>
          <m:t>γ</m:t>
        </m:r>
      </m:oMath>
      <w:r>
        <w:t xml:space="preserve">·Xᵢ + δ_s +</w:t>
      </w:r>
      <w:r>
        <w:t xml:space="preserve"> </w:t>
      </w:r>
      <m:oMath>
        <m:r>
          <m:t>ϵ</m:t>
        </m:r>
      </m:oMath>
      <w:r>
        <w:t xml:space="preserve">ᵢ</w:t>
      </w:r>
    </w:p>
    <w:p>
      <w:pPr>
        <w:pStyle w:val="BodyText"/>
      </w:pPr>
      <w:r>
        <w:rPr>
          <w:bCs/>
          <w:b/>
        </w:rPr>
        <w:t xml:space="preserve">M6 (Dual direct effects):</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sSub>
          <m:e>
            <m:r>
              <m:t>β</m:t>
            </m:r>
          </m:e>
          <m:sub>
            <m:r>
              <m:t>3</m:t>
            </m:r>
          </m:sub>
        </m:sSub>
      </m:oMath>
      <w:r>
        <w:t xml:space="preserve"> </w:t>
      </w:r>
      <m:oMath>
        <m:sSub>
          <m:e>
            <m:r>
              <m:rPr>
                <m:nor/>
                <m:sty m:val="p"/>
              </m:rPr>
              <m:t>TCI</m:t>
            </m:r>
          </m:e>
          <m:sub>
            <m:r>
              <m:t>z</m:t>
            </m:r>
          </m:sub>
        </m:sSub>
      </m:oMath>
      <w:r>
        <w:t xml:space="preserve">ᵢ +</w:t>
      </w:r>
      <w:r>
        <w:t xml:space="preserve"> </w:t>
      </w:r>
      <m:oMath>
        <m:sSub>
          <m:e>
            <m:r>
              <m:t>β</m:t>
            </m:r>
          </m:e>
          <m:sub>
            <m:r>
              <m:t>4</m:t>
            </m:r>
          </m:sub>
        </m:sSub>
      </m:oMath>
      <w:r>
        <w:t xml:space="preserve"> </w:t>
      </w:r>
      <m:oMath>
        <m:sSub>
          <m:e>
            <m:r>
              <m:rPr>
                <m:nor/>
                <m:sty m:val="p"/>
              </m:rPr>
              <m:t>DAI</m:t>
            </m:r>
          </m:e>
          <m:sub>
            <m:r>
              <m:t>z</m:t>
            </m:r>
          </m:sub>
        </m:sSub>
      </m:oMath>
      <w:r>
        <w:t xml:space="preserve">ᵢ +</w:t>
      </w:r>
      <w:r>
        <w:t xml:space="preserve"> </w:t>
      </w:r>
      <m:oMath>
        <m:r>
          <m:t>γ</m:t>
        </m:r>
      </m:oMath>
      <w:r>
        <w:t xml:space="preserve">·Xᵢ + δ_s +</w:t>
      </w:r>
      <w:r>
        <w:t xml:space="preserve"> </w:t>
      </w:r>
      <m:oMath>
        <m:r>
          <m:t>ϵ</m:t>
        </m:r>
      </m:oMath>
      <w:r>
        <w:t xml:space="preserve">ᵢ</w:t>
      </w:r>
    </w:p>
    <w:p>
      <w:pPr>
        <w:pStyle w:val="BodyText"/>
      </w:pPr>
      <w:r>
        <w:rPr>
          <w:bCs/>
          <w:b/>
        </w:rPr>
        <w:t xml:space="preserve">M7 (DAI linear interaction):</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sSub>
          <m:e>
            <m:r>
              <m:t>β</m:t>
            </m:r>
          </m:e>
          <m:sub>
            <m:r>
              <m:t>3</m:t>
            </m:r>
          </m:sub>
        </m:sSub>
      </m:oMath>
      <w:r>
        <w:t xml:space="preserve"> </w:t>
      </w:r>
      <m:oMath>
        <m:sSub>
          <m:e>
            <m:r>
              <m:rPr>
                <m:nor/>
                <m:sty m:val="p"/>
              </m:rPr>
              <m:t>TCI</m:t>
            </m:r>
          </m:e>
          <m:sub>
            <m:r>
              <m:t>z</m:t>
            </m:r>
          </m:sub>
        </m:sSub>
      </m:oMath>
      <w:r>
        <w:t xml:space="preserve">ᵢ +</w:t>
      </w:r>
      <w:r>
        <w:t xml:space="preserve"> </w:t>
      </w:r>
      <m:oMath>
        <m:sSub>
          <m:e>
            <m:r>
              <m:t>β</m:t>
            </m:r>
          </m:e>
          <m:sub>
            <m:r>
              <m:t>4</m:t>
            </m:r>
          </m:sub>
        </m:sSub>
      </m:oMath>
      <w:r>
        <w:t xml:space="preserve"> </w:t>
      </w:r>
      <m:oMath>
        <m:sSub>
          <m:e>
            <m:r>
              <m:rPr>
                <m:nor/>
                <m:sty m:val="p"/>
              </m:rPr>
              <m:t>DAI</m:t>
            </m:r>
          </m:e>
          <m:sub>
            <m:r>
              <m:t>z</m:t>
            </m:r>
          </m:sub>
        </m:sSub>
      </m:oMath>
      <w:r>
        <w:t xml:space="preserve">ᵢ +</w:t>
      </w:r>
      <w:r>
        <w:t xml:space="preserve"> </w:t>
      </w:r>
      <m:oMath>
        <m:sSub>
          <m:e>
            <m:r>
              <m:t>β</m:t>
            </m:r>
          </m:e>
          <m:sub>
            <m:r>
              <m:t>5</m:t>
            </m:r>
          </m:sub>
        </m:sSub>
      </m:oMath>
      <w:r>
        <w:t xml:space="preserve">(</w:t>
      </w:r>
      <m:oMath>
        <m:sSub>
          <m:e>
            <m:r>
              <m:rPr>
                <m:nor/>
                <m:sty m:val="p"/>
              </m:rPr>
              <m:t>FSTS</m:t>
            </m:r>
          </m:e>
          <m:sub>
            <m:r>
              <m:t>c</m:t>
            </m:r>
          </m:sub>
        </m:sSub>
      </m:oMath>
      <w:r>
        <w:t xml:space="preserve">ᵢ</w:t>
      </w:r>
      <w:r>
        <w:t xml:space="preserve"> </w:t>
      </w:r>
      <m:oMath>
        <m:r>
          <m:rPr>
            <m:sty m:val="p"/>
          </m:rPr>
          <m:t>×</m:t>
        </m:r>
      </m:oMath>
      <w:r>
        <w:t xml:space="preserve"> </w:t>
      </w:r>
      <m:oMath>
        <m:sSub>
          <m:e>
            <m:r>
              <m:rPr>
                <m:nor/>
                <m:sty m:val="p"/>
              </m:rPr>
              <m:t>DAI</m:t>
            </m:r>
          </m:e>
          <m:sub>
            <m:r>
              <m:t>z</m:t>
            </m:r>
          </m:sub>
        </m:sSub>
      </m:oMath>
      <w:r>
        <w:t xml:space="preserve">ᵢ) +</w:t>
      </w:r>
      <w:r>
        <w:t xml:space="preserve"> </w:t>
      </w:r>
      <m:oMath>
        <m:r>
          <m:t>γ</m:t>
        </m:r>
      </m:oMath>
      <w:r>
        <w:t xml:space="preserve">·Xᵢ + δ_s +</w:t>
      </w:r>
      <w:r>
        <w:t xml:space="preserve"> </w:t>
      </w:r>
      <m:oMath>
        <m:r>
          <m:t>ϵ</m:t>
        </m:r>
      </m:oMath>
      <w:r>
        <w:t xml:space="preserve">ᵢ</w:t>
      </w:r>
    </w:p>
    <w:p>
      <w:pPr>
        <w:pStyle w:val="BodyText"/>
      </w:pPr>
      <w:r>
        <w:rPr>
          <w:bCs/>
          <w:b/>
        </w:rPr>
        <w:t xml:space="preserve">M8 (Full moderation model, H3 primary test):</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sSub>
          <m:e>
            <m:r>
              <m:t>β</m:t>
            </m:r>
          </m:e>
          <m:sub>
            <m:r>
              <m:t>3</m:t>
            </m:r>
          </m:sub>
        </m:sSub>
      </m:oMath>
      <w:r>
        <w:t xml:space="preserve"> </w:t>
      </w:r>
      <m:oMath>
        <m:sSub>
          <m:e>
            <m:r>
              <m:rPr>
                <m:nor/>
                <m:sty m:val="p"/>
              </m:rPr>
              <m:t>TCI</m:t>
            </m:r>
          </m:e>
          <m:sub>
            <m:r>
              <m:t>z</m:t>
            </m:r>
          </m:sub>
        </m:sSub>
      </m:oMath>
      <w:r>
        <w:t xml:space="preserve">ᵢ +</w:t>
      </w:r>
      <w:r>
        <w:t xml:space="preserve"> </w:t>
      </w:r>
      <m:oMath>
        <m:sSub>
          <m:e>
            <m:r>
              <m:t>β</m:t>
            </m:r>
          </m:e>
          <m:sub>
            <m:r>
              <m:t>4</m:t>
            </m:r>
          </m:sub>
        </m:sSub>
      </m:oMath>
      <w:r>
        <w:t xml:space="preserve"> </w:t>
      </w:r>
      <m:oMath>
        <m:sSub>
          <m:e>
            <m:r>
              <m:rPr>
                <m:nor/>
                <m:sty m:val="p"/>
              </m:rPr>
              <m:t>DAI</m:t>
            </m:r>
          </m:e>
          <m:sub>
            <m:r>
              <m:t>z</m:t>
            </m:r>
          </m:sub>
        </m:sSub>
      </m:oMath>
      <w:r>
        <w:t xml:space="preserve">ᵢ +</w:t>
      </w:r>
      <w:r>
        <w:t xml:space="preserve"> </w:t>
      </w:r>
      <m:oMath>
        <m:sSub>
          <m:e>
            <m:r>
              <m:t>β</m:t>
            </m:r>
          </m:e>
          <m:sub>
            <m:r>
              <m:t>5</m:t>
            </m:r>
          </m:sub>
        </m:sSub>
      </m:oMath>
      <w:r>
        <w:t xml:space="preserve">(</w:t>
      </w:r>
      <m:oMath>
        <m:sSub>
          <m:e>
            <m:r>
              <m:rPr>
                <m:nor/>
                <m:sty m:val="p"/>
              </m:rPr>
              <m:t>FSTS</m:t>
            </m:r>
          </m:e>
          <m:sub>
            <m:r>
              <m:t>c</m:t>
            </m:r>
          </m:sub>
        </m:sSub>
      </m:oMath>
      <w:r>
        <w:t xml:space="preserve">ᵢ</w:t>
      </w:r>
      <w:r>
        <w:t xml:space="preserve"> </w:t>
      </w:r>
      <m:oMath>
        <m:r>
          <m:rPr>
            <m:sty m:val="p"/>
          </m:rPr>
          <m:t>×</m:t>
        </m:r>
      </m:oMath>
      <w:r>
        <w:t xml:space="preserve"> </w:t>
      </w:r>
      <m:oMath>
        <m:sSub>
          <m:e>
            <m:r>
              <m:rPr>
                <m:nor/>
                <m:sty m:val="p"/>
              </m:rPr>
              <m:t>DAI</m:t>
            </m:r>
          </m:e>
          <m:sub>
            <m:r>
              <m:t>z</m:t>
            </m:r>
          </m:sub>
        </m:sSub>
      </m:oMath>
      <w:r>
        <w:t xml:space="preserve">ᵢ) +</w:t>
      </w:r>
      <w:r>
        <w:t xml:space="preserve"> </w:t>
      </w:r>
      <m:oMath>
        <m:sSub>
          <m:e>
            <m:r>
              <m:t>β</m:t>
            </m:r>
          </m:e>
          <m:sub>
            <m:r>
              <m:t>6</m:t>
            </m:r>
          </m:sub>
        </m:sSub>
      </m:oMath>
      <w:r>
        <w:t xml:space="preserve">(</w:t>
      </w:r>
      <m:oMath>
        <m:sSubSup>
          <m:e>
            <m:r>
              <m:rPr>
                <m:nor/>
                <m:sty m:val="p"/>
              </m:rPr>
              <m:t>FSTS</m:t>
            </m:r>
          </m:e>
          <m:sub>
            <m:r>
              <m:t>c</m:t>
            </m:r>
          </m:sub>
          <m:sup>
            <m:r>
              <m:t>2</m:t>
            </m:r>
          </m:sup>
        </m:sSubSup>
      </m:oMath>
      <w:r>
        <w:t xml:space="preserve">ᵢ</w:t>
      </w:r>
      <w:r>
        <w:t xml:space="preserve"> </w:t>
      </w:r>
      <m:oMath>
        <m:r>
          <m:rPr>
            <m:sty m:val="p"/>
          </m:rPr>
          <m:t>×</m:t>
        </m:r>
      </m:oMath>
      <w:r>
        <w:t xml:space="preserve"> </w:t>
      </w:r>
      <m:oMath>
        <m:sSub>
          <m:e>
            <m:r>
              <m:rPr>
                <m:nor/>
                <m:sty m:val="p"/>
              </m:rPr>
              <m:t>DAI</m:t>
            </m:r>
          </m:e>
          <m:sub>
            <m:r>
              <m:t>z</m:t>
            </m:r>
          </m:sub>
        </m:sSub>
      </m:oMath>
      <w:r>
        <w:t xml:space="preserve">ᵢ) +</w:t>
      </w:r>
      <w:r>
        <w:t xml:space="preserve"> </w:t>
      </w:r>
      <m:oMath>
        <m:r>
          <m:t>γ</m:t>
        </m:r>
      </m:oMath>
      <w:r>
        <w:t xml:space="preserve">·Xᵢ + δ_s +</w:t>
      </w:r>
      <w:r>
        <w:t xml:space="preserve"> </w:t>
      </w:r>
      <m:oMath>
        <m:r>
          <m:t>ϵ</m:t>
        </m:r>
      </m:oMath>
      <w:r>
        <w:t xml:space="preserve">ᵢ</w:t>
      </w:r>
      <w:r>
        <w:t xml:space="preserve"> </w:t>
      </w:r>
      <w:r>
        <w:t xml:space="preserve">[H3:</w:t>
      </w:r>
      <w:r>
        <w:t xml:space="preserve"> </w:t>
      </w:r>
      <m:oMath>
        <m:sSub>
          <m:e>
            <m:r>
              <m:t>β</m:t>
            </m:r>
          </m:e>
          <m:sub>
            <m:r>
              <m:t>6</m:t>
            </m:r>
          </m:sub>
        </m:sSub>
      </m:oMath>
      <w:r>
        <w:t xml:space="preserve"> </w:t>
      </w:r>
      <w:r>
        <w:t xml:space="preserve">&gt; 0 (p &lt; .01), amplification; confirmed:</w:t>
      </w:r>
      <w:r>
        <w:t xml:space="preserve"> </w:t>
      </w:r>
      <m:oMath>
        <m:sSub>
          <m:e>
            <m:r>
              <m:t>β</m:t>
            </m:r>
          </m:e>
          <m:sub>
            <m:r>
              <m:t>6</m:t>
            </m:r>
          </m:sub>
        </m:sSub>
      </m:oMath>
      <w:r>
        <w:t xml:space="preserve"> </w:t>
      </w:r>
      <w:r>
        <w:t xml:space="preserve">=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w:t>
      </w:r>
      <w:r>
        <w:t xml:space="preserve"> </w:t>
      </w:r>
      <m:oMath>
        <m:sSup>
          <m:e>
            <m:r>
              <m:rPr>
                <m:nor/>
                <m:sty m:val="p"/>
              </m:rPr>
              <m:t>FSTS</m:t>
            </m:r>
          </m:e>
          <m:sup>
            <m:r>
              <m:t>2</m:t>
            </m:r>
          </m:sup>
        </m:sSup>
      </m:oMath>
      <w:r>
        <w:t xml:space="preserve"> </w:t>
      </w:r>
      <w:r>
        <w:t xml:space="preserve">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w:t>
      </w:r>
      <w:r>
        <w:t xml:space="preserve"> </w:t>
      </w:r>
      <m:oMath>
        <m:sSup>
          <m:e>
            <m:r>
              <m:t>f</m:t>
            </m:r>
          </m:e>
          <m:sup>
            <m:r>
              <m:t>2</m:t>
            </m:r>
          </m:sup>
        </m:sSup>
      </m:oMath>
      <w:r>
        <w:t xml:space="preserve"> </w:t>
      </w:r>
      <w:r>
        <w:t xml:space="preserve">(Aguinis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cross-sectional variation in trade costs, export-promotion eligibility, or broadband-rollout timing is not available within the survey frame,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49"/>
    <w:bookmarkStart w:id="50"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w:t>
      </w:r>
      <w:r>
        <w:t xml:space="preserve"> </w:t>
      </w:r>
      <m:oMath>
        <m:r>
          <m:rPr>
            <m:sty m:val="p"/>
          </m:rPr>
          <m:t>≈</m:t>
        </m:r>
      </m:oMath>
      <w:r>
        <w:t xml:space="preserve"> </w:t>
      </w:r>
      <w:r>
        <w:t xml:space="preserve">82 %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w:t>
      </w:r>
      <m:oMath>
        <m:sSup>
          <m:e>
            <m:r>
              <m:t>f</m:t>
            </m:r>
          </m:e>
          <m:sup>
            <m:r>
              <m:t>2</m:t>
            </m:r>
          </m:sup>
        </m:sSup>
      </m:oMath>
      <w:r>
        <w:t xml:space="preserve"> </w:t>
      </w:r>
      <m:oMath>
        <m:r>
          <m:rPr>
            <m:sty m:val="p"/>
          </m:rPr>
          <m:t>≈</m:t>
        </m:r>
      </m:oMath>
      <w:r>
        <w:t xml:space="preserve"> </w:t>
      </w:r>
      <w:r>
        <w:t xml:space="preserve">0.018). At</w:t>
      </w:r>
      <w:r>
        <w:t xml:space="preserve"> </w:t>
      </w:r>
      <m:oMath>
        <m:r>
          <m:t>α</m:t>
        </m:r>
      </m:oMath>
      <w:r>
        <w:t xml:space="preserve"> </w:t>
      </w:r>
      <w:r>
        <w:t xml:space="preserve">=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w:t>
      </w:r>
      <w:r>
        <w:t xml:space="preserve"> </w:t>
      </w:r>
      <m:oMath>
        <m:r>
          <m:rPr>
            <m:sty m:val="p"/>
          </m:rPr>
          <m:t>≈</m:t>
        </m:r>
      </m:oMath>
      <w:r>
        <w:t xml:space="preserve"> </w:t>
      </w:r>
      <w:r>
        <w:t xml:space="preserve">16%), we are underpowered to detect interaction effects of</w:t>
      </w:r>
      <w:r>
        <w:t xml:space="preserve"> </w:t>
      </w:r>
      <m:oMath>
        <m:r>
          <m:t>β</m:t>
        </m:r>
      </m:oMath>
      <w:r>
        <w:t xml:space="preserve"> </w:t>
      </w:r>
      <w:r>
        <w:t xml:space="preserve">&lt; 1.5 standard deviations; (b)</w:t>
      </w:r>
      <w:r>
        <w:t xml:space="preserve"> </w:t>
      </w:r>
      <w:r>
        <w:rPr>
          <w:iCs/>
          <w:i/>
        </w:rPr>
        <w:t xml:space="preserve">Methodological remedy</w:t>
      </w:r>
      <w:r>
        <w:t xml:space="preserve">: panel data or an exporter oversampling design with N</w:t>
      </w:r>
      <w:r>
        <w:t xml:space="preserve"> </w:t>
      </w:r>
      <m:oMath>
        <m:r>
          <m:rPr>
            <m:sty m:val="p"/>
          </m:rPr>
          <m:t>≥</m:t>
        </m:r>
      </m:oMath>
      <w:r>
        <w:t xml:space="preserve"> </w:t>
      </w:r>
      <w:r>
        <w:t xml:space="preserve">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w:t>
      </w:r>
      <w:r>
        <w:t xml:space="preserve"> </w:t>
      </w:r>
      <m:oMath>
        <m:r>
          <m:t>β</m:t>
        </m:r>
      </m:oMath>
      <w:r>
        <w:t xml:space="preserve"> </w:t>
      </w:r>
      <w:r>
        <w:t xml:space="preserve">= +2.821) is read here as</w:t>
      </w:r>
      <w:r>
        <w:t xml:space="preserve"> </w:t>
      </w:r>
      <w:r>
        <w:rPr>
          <w:iCs/>
          <w:i/>
        </w:rPr>
        <w:t xml:space="preserve">corroborating evidence consistent with</w:t>
      </w:r>
      <w:r>
        <w:t xml:space="preserve"> </w:t>
      </w:r>
      <w:r>
        <w:t xml:space="preserve">the full-sample amplification mechanism rather than as a stand-alone identifying test. We refrain from treating it as independent confirmation because at 16% power, statistically significant findings are at elevated risk of Type M (magnitude) inflation (Gelman &amp; Carlin, 2014); the R5 estimate's direction is informative, but its magnitude should not be interpreted as a precise effect size.</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but the appropriate reading of this null is not "the inverted-U fails",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w:t>
      </w:r>
      <m:oMath>
        <m:r>
          <m:t>β</m:t>
        </m:r>
      </m:oMath>
      <w:r>
        <w:t xml:space="preserve"> </w:t>
      </w:r>
      <w:r>
        <w:t xml:space="preserve">= 0.264, SE = 0.138, t = 1.92, p = .055) is just above the .05 threshold, indicating mild selection at the extensive margin of export participation. The key</w:t>
      </w:r>
      <w:r>
        <w:t xml:space="preserve"> </w:t>
      </w:r>
      <m:oMath>
        <m:r>
          <m:rPr>
            <m:nor/>
            <m:sty m:val="p"/>
          </m:rPr>
          <m:t>DAI</m:t>
        </m:r>
        <m:r>
          <m:rPr>
            <m:sty m:val="p"/>
          </m:rPr>
          <m:t>×</m:t>
        </m:r>
        <m:sSup>
          <m:e>
            <m:r>
              <m:rPr>
                <m:nor/>
                <m:sty m:val="p"/>
              </m:rPr>
              <m:t>FSTS</m:t>
            </m:r>
          </m:e>
          <m:sup>
            <m:r>
              <m:t>2</m:t>
            </m:r>
          </m:sup>
        </m:sSup>
      </m:oMath>
      <w:r>
        <w:t xml:space="preserve"> </w:t>
      </w:r>
      <w:r>
        <w:t xml:space="preserve">interaction (H3 amplification) and the TCI coefficient are not materially altered (|</w:t>
      </w:r>
      <m:oMath>
        <m:r>
          <m:t>Δ</m:t>
        </m:r>
      </m:oMath>
      <w:r>
        <w:t xml:space="preserve">|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50"/>
    <w:bookmarkEnd w:id="51"/>
    <w:bookmarkStart w:id="63" w:name="X121719332867ee227f0a04b486098cee978c6e6"/>
    <w:p>
      <w:pPr>
        <w:pStyle w:val="Heading2"/>
      </w:pPr>
      <w:r>
        <w:t xml:space="preserve">4 Results</w:t>
      </w:r>
    </w:p>
    <w:bookmarkStart w:id="52"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2"/>
    <w:bookmarkStart w:id="53"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t>
      </w:r>
      <m:oMath>
        <m:r>
          <m:t>β</m:t>
        </m:r>
      </m:oMath>
      <w:r>
        <w:t xml:space="preserve"> </w:t>
      </w:r>
      <w:r>
        <w:t xml:space="preserve">= +2.652, SE = 0.691, p &lt; .001), whereas the squared term is negative (</w:t>
      </w:r>
      <m:oMath>
        <m:r>
          <m:t>β</m:t>
        </m:r>
      </m:oMath>
      <w:r>
        <w:t xml:space="preserve"> </w:t>
      </w:r>
      <w:r>
        <w:t xml:space="preserve">=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3"/>
    <w:bookmarkStart w:id="54"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w:t>
      </w:r>
      <m:oMath>
        <m:r>
          <m:t>β</m:t>
        </m:r>
      </m:oMath>
      <w:r>
        <w:t xml:space="preserve"> </w:t>
      </w:r>
      <w:r>
        <w:t xml:space="preserve">= 0.168, SE = 0.040, p &lt; .001). Model fit also improves relative to the quadratic baseline, with</w:t>
      </w:r>
      <w:r>
        <w:t xml:space="preserve"> </w:t>
      </w:r>
      <m:oMath>
        <m:sSup>
          <m:e>
            <m:r>
              <m:t>R</m:t>
            </m:r>
          </m:e>
          <m:sup>
            <m:r>
              <m:t>2</m:t>
            </m:r>
          </m:sup>
        </m:sSup>
      </m:oMath>
      <w:r>
        <w:t xml:space="preserve"> </w:t>
      </w:r>
      <w:r>
        <w:t xml:space="preserve">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w:t>
      </w:r>
      <m:oMath>
        <m:r>
          <m:t>β</m:t>
        </m:r>
      </m:oMath>
      <w:r>
        <w:t xml:space="preserve"> </w:t>
      </w:r>
      <w:r>
        <w:t xml:space="preserve">=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4"/>
    <w:bookmarkStart w:id="6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w:t>
      </w:r>
      <m:oMath>
        <m:r>
          <m:t>β</m:t>
        </m:r>
      </m:oMath>
      <w:r>
        <w:t xml:space="preserve"> </w:t>
      </w:r>
      <w:r>
        <w:t xml:space="preserve">= 0.104, SE = 0.038, p = .007). However, once TCI is included alongside DAI in Model M7, the DAI coefficient attenuates to</w:t>
      </w:r>
      <w:r>
        <w:t xml:space="preserve"> </w:t>
      </w:r>
      <m:oMath>
        <m:r>
          <m:t>β</m:t>
        </m:r>
      </m:oMath>
      <w:r>
        <w:t xml:space="preserve"> </w:t>
      </w:r>
      <w:r>
        <w:t xml:space="preserve">=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w:t>
      </w:r>
      <m:oMath>
        <m:r>
          <m:t>β</m:t>
        </m:r>
      </m:oMath>
      <w:r>
        <w:t xml:space="preserve"> </w:t>
      </w:r>
      <w:r>
        <w:t xml:space="preserve">= 0.019, p = .705), the linear interaction with FSTS is negative but does not reach conventional significance (</w:t>
      </w:r>
      <m:oMath>
        <m:r>
          <m:t>β</m:t>
        </m:r>
      </m:oMath>
      <w:r>
        <w:t xml:space="preserve"> </w:t>
      </w:r>
      <w:r>
        <w:t xml:space="preserve">= −1.177, p = .083), and the quadratic interaction term is positive and statistically significant (</w:t>
      </w:r>
      <m:oMath>
        <m:r>
          <m:t>β</m:t>
        </m:r>
      </m:oMath>
      <w:r>
        <w:t xml:space="preserve"> </w:t>
      </w:r>
      <w:r>
        <w:t xml:space="preserve">= 3.119, SE = 1.124, p = .005). Model M8 also produces the highest explanatory power among the main specifications, with</w:t>
      </w:r>
      <w:r>
        <w:t xml:space="preserve"> </w:t>
      </w:r>
      <m:oMath>
        <m:sSup>
          <m:e>
            <m:r>
              <m:t>R</m:t>
            </m:r>
          </m:e>
          <m:sup>
            <m:r>
              <m:t>2</m:t>
            </m:r>
          </m:sup>
        </m:sSup>
      </m:oMath>
      <w:r>
        <w:t xml:space="preserve"> </w:t>
      </w:r>
      <w:r>
        <w:t xml:space="preserve">= 0.211 and adjusted</w:t>
      </w:r>
      <w:r>
        <w:t xml:space="preserve"> </w:t>
      </w:r>
      <m:oMath>
        <m:sSup>
          <m:e>
            <m:r>
              <m:t>R</m:t>
            </m:r>
          </m:e>
          <m:sup>
            <m:r>
              <m:t>2</m:t>
            </m:r>
          </m:sup>
        </m:sSup>
      </m:oMath>
      <w:r>
        <w:t xml:space="preserve"> </w:t>
      </w:r>
      <w:r>
        <w:t xml:space="preserve">=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6" name="Picture"/>
            <a:graphic>
              <a:graphicData uri="http://schemas.openxmlformats.org/drawingml/2006/picture">
                <pic:pic>
                  <pic:nvPicPr>
                    <pic:cNvPr descr="figures/p4_singapore/figure_2_dai_marginal_effect.png" id="57" name="Picture"/>
                    <pic:cNvPicPr>
                      <a:picLocks noChangeArrowheads="1" noChangeAspect="1"/>
                    </pic:cNvPicPr>
                  </pic:nvPicPr>
                  <pic:blipFill>
                    <a:blip r:embed="rId55"/>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9" name="Picture"/>
            <a:graphic>
              <a:graphicData uri="http://schemas.openxmlformats.org/drawingml/2006/picture">
                <pic:pic>
                  <pic:nvPicPr>
                    <pic:cNvPr descr="figures/p4_singapore/figure_3_predicted_ip_curve.png" id="60" name="Picture"/>
                    <pic:cNvPicPr>
                      <a:picLocks noChangeArrowheads="1" noChangeAspect="1"/>
                    </pic:cNvPicPr>
                  </pic:nvPicPr>
                  <pic:blipFill>
                    <a:blip r:embed="rId58"/>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w:t>
      </w:r>
      <m:oMath>
        <m:sSub>
          <m:e>
            <m:r>
              <m:t>β</m:t>
            </m:r>
          </m:e>
          <m:sub>
            <m:r>
              <m:t>1</m:t>
            </m:r>
          </m:sub>
        </m:sSub>
      </m:oMath>
      <w:r>
        <w:t xml:space="preserve">/2</w:t>
      </w:r>
      <m:oMath>
        <m:sSub>
          <m:e>
            <m:r>
              <m:t>β</m:t>
            </m:r>
          </m:e>
          <m:sub>
            <m:r>
              <m:t>2</m:t>
            </m:r>
          </m:sub>
        </m:sSub>
      </m:oMath>
      <w:r>
        <w:t xml:space="preserve"> </w:t>
      </w:r>
      <w:r>
        <w:t xml:space="preserve">on mean-centered FSTS</w:t>
      </w:r>
      <w:r>
        <w:t xml:space="preserve"> </w:t>
      </w:r>
      <m:oMath>
        <m:r>
          <m:rPr>
            <m:sty m:val="p"/>
          </m:rPr>
          <m:t>≈</m:t>
        </m:r>
      </m:oMath>
      <w:r>
        <w:t xml:space="preserve"> </w:t>
      </w:r>
      <w:r>
        <w:t xml:space="preserve">77.8%; adding back the sample mean of 0.045 gives</w:t>
      </w:r>
      <w:r>
        <w:t xml:space="preserve"> </w:t>
      </w:r>
      <m:oMath>
        <m:r>
          <m:rPr>
            <m:sty m:val="p"/>
          </m:rPr>
          <m:t>≈</m:t>
        </m:r>
      </m:oMath>
      <w:r>
        <w:t xml:space="preserve"> </w:t>
      </w:r>
      <w:r>
        <w:t xml:space="preserve">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61"/>
    <w:bookmarkStart w:id="6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w:t>
      </w:r>
      <w:r>
        <w:t xml:space="preserve"> </w:t>
      </w:r>
      <m:oMath>
        <m:sSup>
          <m:e>
            <m:r>
              <m:t>f</m:t>
            </m:r>
          </m:e>
          <m:sup>
            <m:r>
              <m:t>2</m:t>
            </m:r>
          </m:sup>
        </m:sSup>
      </m:oMath>
      <w:r>
        <w:t xml:space="preserve"> </w:t>
      </w:r>
      <w:r>
        <w:t xml:space="preserve">for the TCI direct effect (comparing M2 with M5) is approximately 0.036, in the small-to-medium range; Cohen's</w:t>
      </w:r>
      <w:r>
        <w:t xml:space="preserve"> </w:t>
      </w:r>
      <m:oMath>
        <m:sSup>
          <m:e>
            <m:r>
              <m:t>f</m:t>
            </m:r>
          </m:e>
          <m:sup>
            <m:r>
              <m:t>2</m:t>
            </m:r>
          </m:sup>
        </m:sSup>
      </m:oMath>
      <w:r>
        <w:t xml:space="preserve"> </w:t>
      </w:r>
      <w:r>
        <w:t xml:space="preserve">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w:t>
      </w:r>
      <m:oMath>
        <m:r>
          <m:t>β</m:t>
        </m:r>
      </m:oMath>
      <w:r>
        <w:t xml:space="preserve">=+2.821)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w:t>
      </w:r>
      <w:r>
        <w:t xml:space="preserve"> </w:t>
      </w:r>
      <m:oMath>
        <m:r>
          <m:rPr>
            <m:nor/>
            <m:sty m:val="p"/>
          </m:rPr>
          <m:t>DAI</m:t>
        </m:r>
        <m:r>
          <m:rPr>
            <m:sty m:val="p"/>
          </m:rPr>
          <m:t>×</m:t>
        </m:r>
        <m:sSup>
          <m:e>
            <m:r>
              <m:rPr>
                <m:nor/>
                <m:sty m:val="p"/>
              </m:rPr>
              <m:t>FSTS</m:t>
            </m:r>
          </m:e>
          <m:sup>
            <m:r>
              <m:t>2</m:t>
            </m:r>
          </m:sup>
        </m:sSup>
      </m:oMath>
      <w:r>
        <w:t xml:space="preserve"> </w:t>
      </w:r>
      <w:r>
        <w:t xml:space="preserve">interaction altered by |</w:t>
      </w:r>
      <m:oMath>
        <m:r>
          <m:t>Δ</m:t>
        </m:r>
      </m:oMath>
      <w:r>
        <w:t xml:space="preserve">|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2"/>
    <w:bookmarkEnd w:id="63"/>
    <w:bookmarkStart w:id="66" w:name="X735612638e4e736e4693e459c258977262c0dfc"/>
    <w:p>
      <w:pPr>
        <w:pStyle w:val="Heading2"/>
      </w:pPr>
      <w:r>
        <w:t xml:space="preserve">5 Discussion</w:t>
      </w:r>
    </w:p>
    <w:bookmarkStart w:id="64" w:name="X027b31c2d090a00917aa7291770680fd40b64cd"/>
    <w:p>
      <w:pPr>
        <w:pStyle w:val="Heading3"/>
      </w:pPr>
      <w:r>
        <w:t xml:space="preserve">5.1 Theoretical implications</w:t>
      </w:r>
    </w:p>
    <w:p>
      <w:pPr>
        <w:pStyle w:val="FirstParagraph"/>
      </w:pP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w:t>
      </w:r>
      <m:oMath>
        <m:r>
          <m:rPr>
            <m:sty m:val="p"/>
          </m:rPr>
          <m:t>≈</m:t>
        </m:r>
      </m:oMath>
      <w:r>
        <w:t xml:space="preserve">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which is consistent with the digital saturation paradox outlined in the introduction. Their measurable return surfaces only when the scaling demands of high export intensity justify intensive use of digital interfaces and transaction systems. The scale of Singapore's innovation ecosystem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confirms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w:t>
      </w:r>
      <w:r>
        <w:t xml:space="preserve"> </w:t>
      </w:r>
      <m:oMath>
        <m:sSup>
          <m:e>
            <m:r>
              <m:rPr>
                <m:nor/>
                <m:sty m:val="p"/>
              </m:rPr>
              <m:t>FSTS</m:t>
            </m:r>
          </m:e>
          <m:sup>
            <m:r>
              <m:t>2</m:t>
            </m:r>
          </m:sup>
        </m:sSup>
        <m:r>
          <m:rPr>
            <m:sty m:val="p"/>
          </m:rPr>
          <m:t>×</m:t>
        </m:r>
        <m:r>
          <m:rPr>
            <m:nor/>
            <m:sty m:val="p"/>
          </m:rPr>
          <m:t>DAI</m:t>
        </m:r>
      </m:oMath>
      <w:r>
        <w:t xml:space="preserve"> </w:t>
      </w:r>
      <w:r>
        <w:t xml:space="preserve">(</w:t>
      </w:r>
      <m:oMath>
        <m:r>
          <m:t>β</m:t>
        </m:r>
      </m:oMath>
      <w:r>
        <w:t xml:space="preserve">=+3.119, p=.005) implies that DAI's productivity contribution grows super-linearly with export-intensity scale, which a level-shift substitution mechanism (predicting only a linear</w:t>
      </w:r>
      <w:r>
        <w:t xml:space="preserve"> </w:t>
      </w:r>
      <m:oMath>
        <m:r>
          <m:rPr>
            <m:nor/>
            <m:sty m:val="p"/>
          </m:rPr>
          <m:t>FSTS</m:t>
        </m:r>
        <m:r>
          <m:rPr>
            <m:sty m:val="p"/>
          </m:rPr>
          <m:t>×</m:t>
        </m:r>
        <m:r>
          <m:rPr>
            <m:nor/>
            <m:sty m:val="p"/>
          </m:rPr>
          <m:t>DAI</m:t>
        </m:r>
      </m:oMath>
      <w:r>
        <w:t xml:space="preserve"> </w:t>
      </w:r>
      <w:r>
        <w:t xml:space="preserve">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The Section 4.5 R1 specification makes this clear: when DAI is reduced to the website-only Tier-1 binary, the quadratic interaction weakens substantially (</w:t>
      </w:r>
      <m:oMath>
        <m:r>
          <m:t>β</m:t>
        </m:r>
      </m:oMath>
      <w:r>
        <w:t xml:space="preserve"> </w:t>
      </w:r>
      <w:r>
        <w:t xml:space="preserve">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for cross-setting interpretation is that the empirical legibility of the conditional complementarity pattern may depend on whether the surrounding institutional context provides Tier-2 payment infrastructure coverage. Whether this is in fact a transferable Tier-1+2 threshold effect — and where the operational threshold lies — cannot be established from a single-country cross-section; the Singapore finding identifies a candidate boundary case to be tested in cross-economy comparative designs, not a settled leading-indicator claim.</w:t>
      </w:r>
    </w:p>
    <w:bookmarkEnd w:id="64"/>
    <w:bookmarkStart w:id="6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5"/>
    <w:bookmarkEnd w:id="66"/>
    <w:bookmarkStart w:id="6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7"/>
    <w:bookmarkStart w:id="68" w:name="X422fdd10c3908fe492ea939b97371c73422dbba"/>
    <w:p>
      <w:pPr>
        <w:pStyle w:val="Heading2"/>
      </w:pPr>
      <w:r>
        <w:t xml:space="preserve">7 Limitations and Future Research</w:t>
      </w:r>
    </w:p>
    <w:p>
      <w:pPr>
        <w:pStyle w:val="FirstParagraph"/>
      </w:pP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8"/>
    <w:bookmarkStart w:id="7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9">
        <w:r>
          <w:rPr>
            <w:rStyle w:val="Hyperlink"/>
          </w:rPr>
          <w:t xml:space="preserve">www.enterprisesurveys.org</w:t>
        </w:r>
      </w:hyperlink>
      <w:r>
        <w:t xml:space="preserve">. Analysis scripts to replicate the results are available from the corresponding author on reasonable request.</w:t>
      </w:r>
    </w:p>
    <w:bookmarkEnd w:id="70"/>
    <w:bookmarkStart w:id="7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1"/>
    <w:bookmarkStart w:id="72" w:name="funding"/>
    <w:p>
      <w:pPr>
        <w:pStyle w:val="Heading2"/>
      </w:pPr>
      <w:r>
        <w:t xml:space="preserve">Funding</w:t>
      </w:r>
    </w:p>
    <w:p>
      <w:pPr>
        <w:pStyle w:val="FirstParagraph"/>
      </w:pPr>
      <w:r>
        <w:t xml:space="preserve">This research received no external funding.</w:t>
      </w:r>
    </w:p>
    <w:bookmarkEnd w:id="72"/>
    <w:bookmarkStart w:id="73" w:name="conflict-of-interest"/>
    <w:p>
      <w:pPr>
        <w:pStyle w:val="Heading2"/>
      </w:pPr>
      <w:r>
        <w:t xml:space="preserve">Conflict of Interest</w:t>
      </w:r>
    </w:p>
    <w:p>
      <w:pPr>
        <w:pStyle w:val="FirstParagraph"/>
      </w:pPr>
      <w:r>
        <w:t xml:space="preserve">The authors declare no conflicts of interest.</w:t>
      </w:r>
    </w:p>
    <w:bookmarkEnd w:id="73"/>
    <w:bookmarkStart w:id="7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5"/>
    <w:bookmarkStart w:id="11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8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9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9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0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10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10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0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4">
        <w:r>
          <w:rPr>
            <w:rStyle w:val="Hyperlink"/>
          </w:rPr>
          <w:t xml:space="preserve">https://www.enterprisesurveys.org</w:t>
        </w:r>
      </w:hyperlink>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2026-05-30T16:00:49Z</dcterms:created>
  <dcterms:modified xsi:type="dcterms:W3CDTF">2026-05-30T16:00:49Z</dcterms:modified>
</cp:coreProperties>
</file>

<file path=docProps/custom.xml><?xml version="1.0" encoding="utf-8"?>
<Properties xmlns="http://schemas.openxmlformats.org/officeDocument/2006/custom-properties" xmlns:vt="http://schemas.openxmlformats.org/officeDocument/2006/docPropsVTypes"/>
</file>