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lý thuyết dựa trên nguồn lực (Barney, 1991; Wernerfelt, 1984), lý thuyết thể chế (North, 1990; Khanna &amp; Palepu, 2010; Peng, 2003) và lý thuyết thượng tầng quản trị (Hambrick &amp; Mason, 1984; Hambrick, 2007), kết hợp với Khung chấp nhận số nền tảng (Banalieva &amp; Dhanaraj, 2019; Verhoef et al., 2021; Stallkamp &amp; Schotter, 2021) làm nền tảng lý thuyết. Lược khảo năm dạng hàm quan hệ quốc tế hóa, hiệu quả (I–P) gồm tuyến tính, chữ U ngược, S-curve, M-curve, và forced penalty, cùng năm phân tích tổng hợp lớn giai đoạn 1980–2024, cho thấy khoảng trống thực nghiệm trong việc kiểm định đồng thời phi tuyến và điều tiết đa tầng ở châu Á. Hệ giả thuyết H1–H6 được phát triển: H1 phi tuyến dạng chữ U ngược hoặc S-curve; H2 chỉ số năng lực công nghệ (TCI) điều tiết tích cực; H3a–H3b chỉ số chấp nhận số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phổ thể chế ICRV sáu nhóm; H6 tính không đồng nhất theo thời gian. Tám mô hình thực nghiệm M0–M7 được đặc tả, từ cơ sở tuyến tính đến mô hình điều tiết ba chiều cấp luận án. Chiến lược nhận dạng đa tầng và kế hoạch kiểm định độ vững toàn diện được thiết kế cho mẫu gộp 88.869 doanh nghiệp ở 50 nền kinh tế (gồm Nhật Bản) châu Á và Thái Bình Dương, bao gồm 103 cặp quốc gia-năm qua 14 mốc khảo sát WBES giai đoạn 2009–2025 (hồi quy chính M2 N=81.022, M5 N=79.080). Bốn đóng góp chính: (i) khung tích hợp 4 tầng kết hợp Khung chấp nhận số nền tảng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đang phản biện), P4 Singapore (MIR, đang phản biện), P5 Trung Quốc (IJOEM, đang phản biện),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lý thuyết thượng tầng quản trị;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phổ thể chế; H6 temporal heterogeneity. Eight empirical models M0–M7 are specified, from linear baseline to three-way moderation. A multi-level identification strategy and comprehensive robustness plan are designed for a pool of 88,869 firms across 50 Asian and Pacific economies (including Japan; 96,415 ICRV-classified across 52 source economies), spanning 103 country-year pairs across 14 WBES survey waves (2009–2025; main regressions M2 N=81,022, M5 N=79,080). The four main contributions are: (i) an integrated 4-tier framework combined with the Foundational Digital Adoption Framework with no equivalent for Asia; (ii) the separation of TCI and DAI within the Country–Digital–Capability Moderation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quốc tế hóa và hiệu quả,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mẫu gộp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50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3"/>
    <w:bookmarkStart w:id="24"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Country–Digital–Capability Moderation,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Chỉ số áp dụng số</w:t>
            </w:r>
          </w:p>
        </w:tc>
      </w:tr>
      <w:tr>
        <w:tc>
          <w:tcPr/>
          <w:p>
            <w:pPr>
              <w:pStyle w:val="Compact"/>
              <w:jc w:val="left"/>
            </w:pPr>
            <w:r>
              <w:t xml:space="preserve">FDI</w:t>
            </w:r>
          </w:p>
        </w:tc>
        <w:tc>
          <w:tcPr/>
          <w:p>
            <w:pPr>
              <w:pStyle w:val="Compact"/>
              <w:jc w:val="left"/>
            </w:pPr>
            <w:r>
              <w:t xml:space="preserve">Foreign Direct Investment, Đầu tư trực tiếp nước ngoài</w:t>
            </w:r>
          </w:p>
        </w:tc>
      </w:tr>
      <w:tr>
        <w:tc>
          <w:tcPr/>
          <w:p>
            <w:pPr>
              <w:pStyle w:val="Compact"/>
              <w:jc w:val="left"/>
            </w:pPr>
            <w:r>
              <w:t xml:space="preserve">FE</w:t>
            </w:r>
          </w:p>
        </w:tc>
        <w:tc>
          <w:tcPr/>
          <w:p>
            <w:pPr>
              <w:pStyle w:val="Compact"/>
              <w:jc w:val="left"/>
            </w:pPr>
            <w:r>
              <w:t xml:space="preserve">Fixed Effects, Hiệu ứng cố định</w:t>
            </w:r>
          </w:p>
        </w:tc>
      </w:tr>
      <w:tr>
        <w:tc>
          <w:tcPr/>
          <w:p>
            <w:pPr>
              <w:pStyle w:val="Compact"/>
              <w:jc w:val="left"/>
            </w:pPr>
            <w:r>
              <w:t xml:space="preserve">FSTS</w:t>
            </w:r>
          </w:p>
        </w:tc>
        <w:tc>
          <w:tcPr/>
          <w:p>
            <w:pPr>
              <w:pStyle w:val="Compact"/>
              <w:jc w:val="left"/>
            </w:pPr>
            <w:r>
              <w:t xml:space="preserve">Foreign Sales to Total Sales ratio,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Internationalization–Performance, Quan hệ quốc tế hóa và hiệu quả</w:t>
            </w:r>
          </w:p>
        </w:tc>
      </w:tr>
      <w:tr>
        <w:tc>
          <w:tcPr/>
          <w:p>
            <w:pPr>
              <w:pStyle w:val="Compact"/>
              <w:jc w:val="left"/>
            </w:pPr>
            <w:r>
              <w:t xml:space="preserve">IB</w:t>
            </w:r>
          </w:p>
        </w:tc>
        <w:tc>
          <w:tcPr/>
          <w:p>
            <w:pPr>
              <w:pStyle w:val="Compact"/>
              <w:jc w:val="left"/>
            </w:pPr>
            <w:r>
              <w:t xml:space="preserve">International Business, Kinh doanh quốc tế</w:t>
            </w:r>
          </w:p>
        </w:tc>
      </w:tr>
      <w:tr>
        <w:tc>
          <w:tcPr/>
          <w:p>
            <w:pPr>
              <w:pStyle w:val="Compact"/>
              <w:jc w:val="left"/>
            </w:pPr>
            <w:r>
              <w:t xml:space="preserve">ICRV</w:t>
            </w:r>
          </w:p>
        </w:tc>
        <w:tc>
          <w:tcPr/>
          <w:p>
            <w:pPr>
              <w:pStyle w:val="Compact"/>
              <w:jc w:val="left"/>
            </w:pPr>
            <w:r>
              <w:t xml:space="preserve">Institutional Context Regime Variation,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Nghiên cứu và phát triển</w:t>
            </w:r>
          </w:p>
        </w:tc>
      </w:tr>
      <w:tr>
        <w:tc>
          <w:tcPr/>
          <w:p>
            <w:pPr>
              <w:pStyle w:val="Compact"/>
              <w:jc w:val="left"/>
            </w:pPr>
            <w:r>
              <w:t xml:space="preserve">RBV</w:t>
            </w:r>
          </w:p>
        </w:tc>
        <w:tc>
          <w:tcPr/>
          <w:p>
            <w:pPr>
              <w:pStyle w:val="Compact"/>
              <w:jc w:val="left"/>
            </w:pPr>
            <w:r>
              <w:t xml:space="preserve">Resource-Based View,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Lợi nhuận trên tổng tài sản</w:t>
            </w:r>
          </w:p>
        </w:tc>
      </w:tr>
      <w:tr>
        <w:tc>
          <w:tcPr/>
          <w:p>
            <w:pPr>
              <w:pStyle w:val="Compact"/>
              <w:jc w:val="left"/>
            </w:pPr>
            <w:r>
              <w:t xml:space="preserve">ROS</w:t>
            </w:r>
          </w:p>
        </w:tc>
        <w:tc>
          <w:tcPr/>
          <w:p>
            <w:pPr>
              <w:pStyle w:val="Compact"/>
              <w:jc w:val="left"/>
            </w:pPr>
            <w:r>
              <w:t xml:space="preserve">Return on Sales, Lợi nhuận trên doanh thu</w:t>
            </w:r>
          </w:p>
        </w:tc>
      </w:tr>
      <w:tr>
        <w:tc>
          <w:tcPr/>
          <w:p>
            <w:pPr>
              <w:pStyle w:val="Compact"/>
              <w:jc w:val="left"/>
            </w:pPr>
            <w:r>
              <w:t xml:space="preserve">SE</w:t>
            </w:r>
          </w:p>
        </w:tc>
        <w:tc>
          <w:tcPr/>
          <w:p>
            <w:pPr>
              <w:pStyle w:val="Compact"/>
              <w:jc w:val="left"/>
            </w:pPr>
            <w:r>
              <w:t xml:space="preserve">Standard Errors, Sai số chuẩn</w:t>
            </w:r>
          </w:p>
        </w:tc>
      </w:tr>
      <w:tr>
        <w:tc>
          <w:tcPr/>
          <w:p>
            <w:pPr>
              <w:pStyle w:val="Compact"/>
              <w:jc w:val="left"/>
            </w:pPr>
            <w:r>
              <w:t xml:space="preserve">SIDS</w:t>
            </w:r>
          </w:p>
        </w:tc>
        <w:tc>
          <w:tcPr/>
          <w:p>
            <w:pPr>
              <w:pStyle w:val="Compact"/>
              <w:jc w:val="left"/>
            </w:pPr>
            <w:r>
              <w:t xml:space="preserve">Small Island Developing States, Các quốc đảo nhỏ đang phát triển</w:t>
            </w:r>
          </w:p>
        </w:tc>
      </w:tr>
      <w:tr>
        <w:tc>
          <w:tcPr/>
          <w:p>
            <w:pPr>
              <w:pStyle w:val="Compact"/>
              <w:jc w:val="left"/>
            </w:pPr>
            <w:r>
              <w:t xml:space="preserve">SME</w:t>
            </w:r>
          </w:p>
        </w:tc>
        <w:tc>
          <w:tcPr/>
          <w:p>
            <w:pPr>
              <w:pStyle w:val="Compact"/>
              <w:jc w:val="left"/>
            </w:pPr>
            <w:r>
              <w:t xml:space="preserve">Small and Medium-sized Enterprise, Doanh nghiệp vừa và nhỏ</w:t>
            </w:r>
          </w:p>
        </w:tc>
      </w:tr>
      <w:tr>
        <w:tc>
          <w:tcPr/>
          <w:p>
            <w:pPr>
              <w:pStyle w:val="Compact"/>
              <w:jc w:val="left"/>
            </w:pPr>
            <w:r>
              <w:t xml:space="preserve">SOE</w:t>
            </w:r>
          </w:p>
        </w:tc>
        <w:tc>
          <w:tcPr/>
          <w:p>
            <w:pPr>
              <w:pStyle w:val="Compact"/>
              <w:jc w:val="left"/>
            </w:pPr>
            <w:r>
              <w:t xml:space="preserve">State-Owned Enterprise, Doanh nghiệp nhà nước</w:t>
            </w:r>
          </w:p>
        </w:tc>
      </w:tr>
      <w:tr>
        <w:tc>
          <w:tcPr/>
          <w:p>
            <w:pPr>
              <w:pStyle w:val="Compact"/>
              <w:jc w:val="left"/>
            </w:pPr>
            <w:r>
              <w:t xml:space="preserve">TCI</w:t>
            </w:r>
          </w:p>
        </w:tc>
        <w:tc>
          <w:tcPr/>
          <w:p>
            <w:pPr>
              <w:pStyle w:val="Compact"/>
              <w:jc w:val="left"/>
            </w:pPr>
            <w:r>
              <w:t xml:space="preserve">Technological Capability Index, Chỉ số năng lực công nghệ</w:t>
            </w:r>
          </w:p>
        </w:tc>
      </w:tr>
      <w:tr>
        <w:tc>
          <w:tcPr/>
          <w:p>
            <w:pPr>
              <w:pStyle w:val="Compact"/>
              <w:jc w:val="left"/>
            </w:pPr>
            <w:r>
              <w:t xml:space="preserve">UE</w:t>
            </w:r>
          </w:p>
        </w:tc>
        <w:tc>
          <w:tcPr/>
          <w:p>
            <w:pPr>
              <w:pStyle w:val="Compact"/>
              <w:jc w:val="left"/>
            </w:pPr>
            <w:r>
              <w:t xml:space="preserve">Upper Echelons Theory,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5"/>
    <w:bookmarkStart w:id="89" w:name="phần-2-nội-dung-chuyên-đề"/>
    <w:p>
      <w:pPr>
        <w:pStyle w:val="Heading2"/>
      </w:pPr>
      <w:r>
        <w:t xml:space="preserve">Phần 2: NỘI DUNG CHUYÊN ĐỀ</w:t>
      </w:r>
    </w:p>
    <w:bookmarkStart w:id="31" w:name="đặt-vấn-đề"/>
    <w:p>
      <w:pPr>
        <w:pStyle w:val="Heading3"/>
      </w:pPr>
      <w:r>
        <w:t xml:space="preserve">2.1 Đặt vấn đề</w:t>
      </w:r>
    </w:p>
    <w:bookmarkStart w:id="26"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Nền tảng lý thuyết của dòng nghiên cứu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 Trên nền đó, tài liệu kinh doanh quốc tế (IB) đã ghi nhận năm dạng hàm khác nhau trong quan hệ giữa cường độ quốc tế hóa và hiệu quả hoạt động kinh doanh của doanh nghiệp: tuyến tính (Hsu &amp; Boggs, 2003), chữ U ngược (Gomes &amp; Ramaswamy, 1999; Hitt, Hoskisson &amp; Kim, 1997), S-curve (Lu &amp; Beamish, 2004; Contractor, Kundu &amp; Hsu, 2003; Ruigrok &amp; Wagner,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 Thực vậy, các nghiên cứu gần đây sử dụng chiến lược nhận diện chặt chẽ hơn cho thấy dạng chữ U ngược có thể suy yếu hoặc biến mất trong các mẫu gộp xuyên quốc gia (Pisani, Garcia-Bernardo &amp; Heemskerk, 2020), càng củng cố lập luận rằng chính dị biệt bối cảnh chi phối kết quả quốc tế hóa và hiệu quả.</w:t>
      </w:r>
    </w:p>
    <w:p>
      <w:pPr>
        <w:pStyle w:val="BodyText"/>
      </w:pPr>
      <w:r>
        <w:t xml:space="preserve">Châu Á trong giai đoạn 2009–2025 là phòng thí nghiệm tự nhiên độc đáo cho nghiên cứu quan hệ quốc tế hóa và hiệu quả.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50 nền kinh tế (gồm Nhật Bản) châu Á–Thái Bình Dương tạo thành 103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(Bharadwaj et al., 2013; Banalieva &amp; Dhanaraj, 2019; Verhoef et al., 2021; Yang, Zhao &amp; Wei, 2025).</w:t>
      </w:r>
    </w:p>
    <w:p>
      <w:pPr>
        <w:pStyle w:val="BodyText"/>
      </w:pPr>
      <w:r>
        <w:t xml:space="preserve">Khung lý thuyết hiện hành về quan hệ quốc tế hóa và hiệu quả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88.869 doanh nghiệp WBES xuyên 50 nền kinh tế (gồm Nhật Bản), làm rõ ba khuôn mẫu then chốt: phân tán năng suất tăng đơn điệu theo chế độ từ Nhóm I đến Nhóm VI; tính không đồng nhất nội bộ trong nhóm Advanced; và khuôn mẫu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khuôn mẫu đó.</w:t>
      </w:r>
    </w:p>
    <w:p>
      <w:pPr>
        <w:pStyle w:val="BodyText"/>
      </w:pPr>
      <w:r>
        <w:t xml:space="preserve">Bốn bản thảo thực nghiệm đồng hành cung cấp bằng chứng quốc gia cụ thể kiểm định khả năng của khung đề xuất. P2 Trung Quốc SMEs (Đỗ &amp; Phan, 2026c, JFAR đã công bố) phân tích 4.290 quan sát doanh nghiệp và năm thuộc các doanh nghiệp nhỏ và vừa Trung Quốc và tìm thấy dạng chữ U ngược bậc hai với điểm uốn tối ưu 47,8% FSTS, cung cấp tiền thân thực nghiệm cho H1 và cơ sở để so sánh với P5. P3 Việt Nam (Đỗ &amp; Phan, 2026a, JABS đang phản biện)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đang phản biện) phân tích 623 doanh nghiệp WBES 2023, cho thấy điểm uốn hàm ý ở FSTS khoảng 88,6% và DAI hoạt động như nguồn lực mở rộng tình huống với hệ số DAI×FSTS² = +3,119 (p = 0,005). P5 Trung Quốc (Đỗ &amp; Phan, 2026b, IJOEM đang phản biện) phân tích 4.544 doanh nghiệp WBES hai sóng (2012, 2024) xác nhận chữ U ngược bền vững cấu trúc với điểm uốn 49,4% (2012) và 47,2% (2024); kết quả này nhất quán với bằng chứng trước đó về quan hệ quốc tế hóa và hiệu quả và hiệu ứng vùng miền ở doanh nghiệp Trung Quốc (Chen &amp; Tan, 2012; Xiao et al., 2013).</w:t>
      </w:r>
    </w:p>
    <w:bookmarkEnd w:id="26"/>
    <w:bookmarkStart w:id="27"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88.869 doanh nghiệp xuyên 50 nền kinh tế (gồm Nhật Bản)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quốc tế hóa và hiệu quả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7"/>
    <w:bookmarkStart w:id="28"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quốc tế hóa và hiệu quả? Có phân biệt được giữa TCI và DAI theo CDCM hay không?</w:t>
      </w:r>
    </w:p>
    <w:p>
      <w:pPr>
        <w:pStyle w:val="BodyText"/>
      </w:pPr>
      <w:r>
        <w:t xml:space="preserve">Câu hỏi 3 (Q3): Tác động quốc tế hóa và hiệu quả và cơ chế điều tiết có thay đổi theo thời gian không, đặc biệt giữa giai đoạn 2009–2012 và 2018–2025?</w:t>
      </w:r>
    </w:p>
    <w:bookmarkEnd w:id="28"/>
    <w:bookmarkStart w:id="29"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50 nền kinh tế (gồm Nhật Bản) phân theo sáu nhóm ICRV (6+6+6+7+17+8).</w:t>
      </w:r>
    </w:p>
    <w:p>
      <w:pPr>
        <w:pStyle w:val="BodyText"/>
      </w:pPr>
      <w:r>
        <w:t xml:space="preserve">Phạm vi thời gian: 2009–2026 (kèm đợt khảo sát Oman 2026 trong bộ dữ liệu hợp nhất), bao trùm ba thế hệ lược đồ WBES, tạo thành 103 cặp nền kinh tế–năm trên khung phân tích 50 nền (gồm Nhật Bản).</w:t>
      </w:r>
    </w:p>
    <w:p>
      <w:pPr>
        <w:pStyle w:val="BodyText"/>
      </w:pPr>
      <w:r>
        <w:t xml:space="preserve">Phạm vi nội dung: mô hình hóa quan hệ quốc tế hóa và hiệu quả và bốn cơ chế điều tiết cộng với tính không đồng nhất theo thời gian. Chuyên đề không trình bày kết quả thực nghiệm từ toàn bộ mẫu gộp, đó là nhiệm vụ của các bài báo tiếp theo trong chuỗi luận án. Chuyên đề này tập trung xây dựng và đặc tả mô hình.</w:t>
      </w:r>
    </w:p>
    <w:bookmarkEnd w:id="29"/>
    <w:bookmarkStart w:id="30" w:name="ý-nghĩa"/>
    <w:p>
      <w:pPr>
        <w:pStyle w:val="Heading4"/>
      </w:pPr>
      <w:r>
        <w:t xml:space="preserve">2.1.5 Ý nghĩa</w:t>
      </w:r>
    </w:p>
    <w:p>
      <w:pPr>
        <w:pStyle w:val="FirstParagraph"/>
      </w:pPr>
      <w:r>
        <w:t xml:space="preserve">Về lý thuyết, chuyên đề đóng góp khung tích hợp 4 tầng kết hợp Khung chấp nhận số nền tảng, chưa có khung tương đương trong tài liệu IB cho khu vực 50 nền kinh tế (gồm Nhật Bản)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tài liệu châu Á kiểm định đồng thời phi tuyến quốc tế hóa và hiệu quả và điều tiết đa tầng trên mẫu gộp vi mô lớn nhất từ trước đến nay.</w:t>
      </w:r>
    </w:p>
    <w:p>
      <w:pPr>
        <w:pStyle w:val="BodyText"/>
      </w:pPr>
      <w:r>
        <w:t xml:space="preserve">Về thực tiễn, kết quả cung cấp hàm ý chính sách cho doanh nghiệp Việt Nam và châu Á mới nổi về cách tận dụng quốc tế hóa kết hợp năng lực công nghệ và số hóa, đặc biệt trong giai đoạn AI bùng nổ.</w:t>
      </w:r>
    </w:p>
    <w:p>
      <w:r>
        <w:pict>
          <v:rect style="width:0;height:1.5pt" o:hralign="center" o:hrstd="t" o:hr="t"/>
        </w:pict>
      </w:r>
    </w:p>
    <w:bookmarkEnd w:id="30"/>
    <w:bookmarkEnd w:id="31"/>
    <w:bookmarkStart w:id="32" w:name="phương-pháp-nghiên-cứu"/>
    <w:p>
      <w:pPr>
        <w:pStyle w:val="Heading3"/>
      </w:pPr>
      <w:r>
        <w:t xml:space="preserve">2.2 Phương pháp nghiên cứu</w:t>
      </w:r>
    </w:p>
    <w:p>
      <w:pPr>
        <w:pStyle w:val="FirstParagraph"/>
      </w:pPr>
      <w:r>
        <w:t xml:space="preserve">Chuyên đề tiếp cận theo lối tổng quan tài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sai số chuẩn vững (Long &amp; Ervin, 2000) làm chuẩn, hai chiều hiệu ứng cố định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2"/>
    <w:bookmarkStart w:id="84" w:name="kết-quả-và-thảo-luận"/>
    <w:p>
      <w:pPr>
        <w:pStyle w:val="Heading3"/>
      </w:pPr>
      <w:r>
        <w:t xml:space="preserve">2.3 Kết quả và thảo luận</w:t>
      </w:r>
    </w:p>
    <w:bookmarkStart w:id="36" w:name="X738edd18734ed39dd3ad1441b2baf3f5818c8a1"/>
    <w:p>
      <w:pPr>
        <w:pStyle w:val="Heading4"/>
      </w:pPr>
      <w:r>
        <w:t xml:space="preserve">2.3.1 Tổng quan tài liệu về quan hệ quốc tế hóa và hiệu quả kinh doanh</w:t>
      </w:r>
    </w:p>
    <w:bookmarkStart w:id="33" w:name="X164425e602d73f49b1675f9cb337c873d1b4113"/>
    <w:p>
      <w:pPr>
        <w:pStyle w:val="Heading5"/>
      </w:pPr>
      <w:r>
        <w:t xml:space="preserve">Năm dạng hàm của quan hệ quốc tế hóa và hiệu quả</w:t>
      </w:r>
    </w:p>
    <w:p>
      <w:pPr>
        <w:pStyle w:val="FirstParagraph"/>
      </w:pPr>
      <w:r>
        <w:t xml:space="preserve">Tài liệu IB đã ghi nhận không dưới năm dạng hàm khác nhau trong quan hệ giữa cường độ quốc tế hóa và hiệu quả hoạt động kinh doanh của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khuôn mẫu đặc thù của các quốc đảo nhỏ Thái Bình Dương: các doanh nghiệp phải xuất khẩu để tồn tại nhưng thiếu năng lực cạnh tranh, tạo ra gánh nặng bắt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quốc tế hóa và hiệu quả,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quy mô,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3"/>
    <w:bookmarkStart w:id="34"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quốc tế hóa và hiệu quả.</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hồi quy phân tích tổng hợp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phổ thể chế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quốc tế hóa và hiệu quả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mẫu gộp 88.869 doanh nghiệp (50 nền, gồm Nhật Bản)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Có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Có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Có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Có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Có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Có</w:t>
            </w:r>
          </w:p>
        </w:tc>
        <w:tc>
          <w:tcPr/>
          <w:p>
            <w:pPr>
              <w:pStyle w:val="Compact"/>
              <w:jc w:val="left"/>
            </w:pPr>
            <w:r>
              <w:t xml:space="preserve">Có (20 năm)</w:t>
            </w:r>
          </w:p>
        </w:tc>
        <w:tc>
          <w:tcPr/>
          <w:p>
            <w:pPr>
              <w:pStyle w:val="Compact"/>
              <w:jc w:val="left"/>
            </w:pPr>
            <w:r>
              <w:t xml:space="preserve">Có (EMNE/DMNE)</w:t>
            </w:r>
          </w:p>
        </w:tc>
        <w:tc>
          <w:tcPr/>
          <w:p>
            <w:pPr>
              <w:pStyle w:val="Compact"/>
              <w:jc w:val="left"/>
            </w:pPr>
            <w:r>
              <w:t xml:space="preserve">✗</w:t>
            </w:r>
          </w:p>
        </w:tc>
      </w:tr>
      <w:tr>
        <w:tc>
          <w:tcPr/>
          <w:p>
            <w:pPr>
              <w:pStyle w:val="Compact"/>
              <w:jc w:val="left"/>
            </w:pPr>
            <w:r>
              <w:t xml:space="preserve">Đỗ &amp; Phan (2026c, JFAR)</w:t>
            </w:r>
          </w:p>
        </w:tc>
        <w:tc>
          <w:tcPr/>
          <w:p>
            <w:pPr>
              <w:pStyle w:val="Compact"/>
              <w:jc w:val="left"/>
            </w:pPr>
            <w:r>
              <w:t xml:space="preserve">Có (chữ U ngược bậc hai)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Có (H1: chữ U ngược + S-curve)</w:t>
            </w:r>
          </w:p>
        </w:tc>
        <w:tc>
          <w:tcPr/>
          <w:p>
            <w:pPr>
              <w:pStyle w:val="Compact"/>
              <w:jc w:val="left"/>
            </w:pPr>
            <w:r>
              <w:rPr>
                <w:bCs/>
                <w:b/>
              </w:rPr>
              <w:t xml:space="preserve">Có (H2: nhân quả IV)</w:t>
            </w:r>
          </w:p>
        </w:tc>
        <w:tc>
          <w:tcPr/>
          <w:p>
            <w:pPr>
              <w:pStyle w:val="Compact"/>
              <w:jc w:val="left"/>
            </w:pPr>
            <w:r>
              <w:rPr>
                <w:bCs/>
                <w:b/>
              </w:rPr>
              <w:t xml:space="preserve">Có (H3: CDCM phân biệt)</w:t>
            </w:r>
          </w:p>
        </w:tc>
        <w:tc>
          <w:tcPr/>
          <w:p>
            <w:pPr>
              <w:pStyle w:val="Compact"/>
              <w:jc w:val="left"/>
            </w:pPr>
            <w:r>
              <w:rPr>
                <w:bCs/>
                <w:b/>
              </w:rPr>
              <w:t xml:space="preserve">Có (H4a–H4c)</w:t>
            </w:r>
          </w:p>
        </w:tc>
        <w:tc>
          <w:tcPr/>
          <w:p>
            <w:pPr>
              <w:pStyle w:val="Compact"/>
              <w:jc w:val="left"/>
            </w:pPr>
            <w:r>
              <w:rPr>
                <w:bCs/>
                <w:b/>
              </w:rPr>
              <w:t xml:space="preserve">Có (H5: ICRV 6 nhóm)</w:t>
            </w:r>
          </w:p>
        </w:tc>
        <w:tc>
          <w:tcPr/>
          <w:p>
            <w:pPr>
              <w:pStyle w:val="Compact"/>
              <w:jc w:val="left"/>
            </w:pPr>
            <w:r>
              <w:rPr>
                <w:bCs/>
                <w:b/>
              </w:rPr>
              <w:t xml:space="preserve">Có (H6: 3 giai đoạn)</w:t>
            </w:r>
          </w:p>
        </w:tc>
        <w:tc>
          <w:tcPr/>
          <w:p>
            <w:pPr>
              <w:pStyle w:val="Compact"/>
              <w:jc w:val="left"/>
            </w:pPr>
            <w:r>
              <w:rPr>
                <w:bCs/>
                <w:b/>
              </w:rPr>
              <w:t xml:space="preserve">Có (Nhóm I–VI)</w:t>
            </w:r>
          </w:p>
        </w:tc>
        <w:tc>
          <w:tcPr/>
          <w:p>
            <w:pPr>
              <w:pStyle w:val="Compact"/>
              <w:jc w:val="left"/>
            </w:pPr>
            <w:r>
              <w:rPr>
                <w:bCs/>
                <w:b/>
              </w:rPr>
              <w:t xml:space="preserve">Có (Nhóm VI FIP)</w:t>
            </w:r>
          </w:p>
        </w:tc>
      </w:tr>
    </w:tbl>
    <w:p>
      <w:pPr>
        <w:pStyle w:val="BodyText"/>
      </w:pPr>
      <w:r>
        <w:rPr>
          <w:iCs/>
          <w:i/>
        </w:rPr>
        <w:t xml:space="preserve">Ghi chú:</w:t>
      </w:r>
      <w:r>
        <w:rPr>
          <w:iCs/>
          <w:i/>
        </w:rPr>
        <w:t xml:space="preserve"> </w:t>
      </w:r>
      <w:r>
        <w:rPr>
          <w:iCs/>
          <w:i/>
        </w:rPr>
        <w:t xml:space="preserve">“</w:t>
      </w:r>
      <w:r>
        <w:rPr>
          <w:iCs/>
          <w:i/>
        </w:rPr>
        <w:t xml:space="preserve">Có</w:t>
      </w:r>
      <w:r>
        <w:rPr>
          <w:iCs/>
          <w:i/>
        </w:rPr>
        <w:t xml:space="preserve">”</w:t>
      </w:r>
      <w:r>
        <w:rPr>
          <w:iCs/>
          <w:i/>
        </w:rPr>
        <w:t xml:space="preserve"> </w:t>
      </w:r>
      <w:r>
        <w:rPr>
          <w:iCs/>
          <w:i/>
        </w:rPr>
        <w:t xml:space="preserve">=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4"/>
    <w:bookmarkStart w:id="35" w:name="Xc1ee8ae98659a4ba0165f9ba23dbc70e097d79e"/>
    <w:p>
      <w:pPr>
        <w:pStyle w:val="Heading5"/>
      </w:pPr>
      <w:r>
        <w:t xml:space="preserve">Bằng chứng châu Á từ ba bản thảo đồng hành</w:t>
      </w:r>
    </w:p>
    <w:p>
      <w:pPr>
        <w:pStyle w:val="FirstParagraph"/>
      </w:pPr>
      <w:r>
        <w:t xml:space="preserve">P3 Việt Nam (Đỗ &amp; Phan, 2026a, JABS đang phản biện):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(nhất quán với mô hình chọn lọc năng suất xuất khẩu của Melitz, 2003);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(Mục 3.2–Mục 3.3) và luận án (Mục 4.5.1). Chuỗi M0–M7 trong Chuyên đề 2 là các mô hình cấp độ mẫu gộp 50 nền kinh tế, khác với đặc tả cấp độ quốc gia của P3.</w:t>
      </w:r>
    </w:p>
    <w:p>
      <w:pPr>
        <w:pStyle w:val="BodyText"/>
      </w:pPr>
      <w:r>
        <w:t xml:space="preserve">P4 Singapore (Mar, Đỗ &amp; Phan, 2026, MIR đang phản biện): Phân tích 623 doanh nghiệp WBES 2023. Trong nền kinh tế số bão hòa, đường cong quốc tế hóa và hiệu quả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2026b, IJOEM đang phản biện): Phân tích 4.544 doanh nghiệp WBES hai sóng (2012, 2024). Chữ U ngược bền vững cấu trúc, điểm uốn 49,4% (2012), 47,2% (2024), kiểm định Paternoster cho hệ số FSTS² không có sự khác biệt đáng kể (p = 0,545). TCI tăng cường theo thời gian (+0,260 sang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(đang phản biện)</w:t>
            </w:r>
          </w:p>
        </w:tc>
        <w:tc>
          <w:tcPr/>
          <w:p>
            <w:pPr>
              <w:pStyle w:val="Compact"/>
              <w:jc w:val="left"/>
            </w:pPr>
            <w:r>
              <w:t xml:space="preserve">MIR (đang phản biện)</w:t>
            </w:r>
          </w:p>
        </w:tc>
        <w:tc>
          <w:tcPr/>
          <w:p>
            <w:pPr>
              <w:pStyle w:val="Compact"/>
              <w:jc w:val="left"/>
            </w:pPr>
            <w:r>
              <w:t xml:space="preserve">IJOEM (đang phản biện)</w:t>
            </w:r>
          </w:p>
        </w:tc>
      </w:tr>
      <w:tr>
        <w:tc>
          <w:tcPr/>
          <w:p>
            <w:pPr>
              <w:pStyle w:val="Compact"/>
              <w:jc w:val="left"/>
            </w:pPr>
            <w:r>
              <w:t xml:space="preserve">Dạng I–P</w:t>
            </w:r>
          </w:p>
        </w:tc>
        <w:tc>
          <w:tcPr/>
          <w:p>
            <w:pPr>
              <w:pStyle w:val="Compact"/>
              <w:jc w:val="left"/>
            </w:pPr>
            <w:r>
              <w:rPr>
                <w:bCs/>
                <w:b/>
              </w:rPr>
              <w:t xml:space="preserve">Chữ U ngược bậc hai</w:t>
            </w:r>
            <w:r>
              <w:t xml:space="preserve"> </w:t>
            </w:r>
            <w:r>
              <w:t xml:space="preserve">(điểm uốn 47,8%)</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47,8% FSTS</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2026c, JFAR) là bản thảo tiền thân đã công bố, tìm thấy quan hệ chữ U ngược bậc hai (điểm uốn 47,8% FSTS, mẫu 4.290 quan sát doanh nghiệp–năm) trong nhóm doanh nghiệp nhỏ và vừa Trung Quốc, là bằng chứng nền tảng cho dạng phi tuyến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bậc hai là dạng hàm phổ biến nhất cho doanh nghiệp vừa và nhỏ châu Á với điểm uốn phụ thuộc vào ICRV.</w:t>
      </w:r>
    </w:p>
    <w:bookmarkEnd w:id="35"/>
    <w:bookmarkEnd w:id="36"/>
    <w:bookmarkStart w:id="43" w:name="khung-lý-thuyết-tích-hợp-4-tầng"/>
    <w:p>
      <w:pPr>
        <w:pStyle w:val="Heading4"/>
      </w:pPr>
      <w:r>
        <w:t xml:space="preserve">2.3.2 Khung lý thuyết tích hợp 4 tầng</w:t>
      </w:r>
    </w:p>
    <w:bookmarkStart w:id="37"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7"/>
    <w:bookmarkStart w:id="38" w:name="X2c85e26e6ba3228bf003793c40503d5a193d2b2"/>
    <w:p>
      <w:pPr>
        <w:pStyle w:val="Heading5"/>
      </w:pPr>
      <w:r>
        <w:t xml:space="preserve">Tầng 2: Lý thuyết doanh nghiệp dựa trên nguồn lực (RBV)</w:t>
      </w:r>
    </w:p>
    <w:p>
      <w:pPr>
        <w:pStyle w:val="FirstParagraph"/>
      </w:pPr>
      <w:r>
        <w:t xml:space="preserve">lý thuyết dựa trên nguồn lực (Wernerfelt, 1984; Barney, 1991) cho rằng lợi thế cạnh tranh bền vững xuất phát từ nguồn lực có giá trị, hiếm, khó bắt chước, và không thay thế (VRIN). Doanh nghiệp khác nhau về hiệu quả vì sở hữu các bộ nguồn lực khác nhau. Các phát triển gần đây mở rộng lý thuyết dựa trên nguồn lực sang lợi thế cạnh tranh bền vững gắn với bối cảnh môi trường, xã hội và quản trị (Bhandari, Ranta &amp; Salo, 2023).</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lý thuyết dựa trên nguồn lực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sang +0,426) ủng hộ TCI là nguồn lực VRIN bền vững.</w:t>
      </w:r>
    </w:p>
    <w:bookmarkEnd w:id="38"/>
    <w:bookmarkStart w:id="39"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phổ thể chế).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39"/>
    <w:bookmarkStart w:id="40" w:name="Xe8eb320d620bcae986a5f0f08d76353e5906bd0"/>
    <w:p>
      <w:pPr>
        <w:pStyle w:val="Heading5"/>
      </w:pPr>
      <w:r>
        <w:t xml:space="preserve">Tầng 4: Lý thuyết lý thuyết thượng tầng quản trị</w:t>
      </w:r>
    </w:p>
    <w:p>
      <w:pPr>
        <w:pStyle w:val="FirstParagraph"/>
      </w:pPr>
      <w:r>
        <w:t xml:space="preserve">Hambrick và Mason (1984) đề xuất lý thuyết thượng tầng quản trị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lý thuyết thượng tầng quản trị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0"/>
    <w:bookmarkStart w:id="41" w:name="khung-chấp-nhận-số-nền-tảng-và-cdcm"/>
    <w:p>
      <w:pPr>
        <w:pStyle w:val="Heading5"/>
      </w:pPr>
      <w:r>
        <w:t xml:space="preserve">Khung chấp nhận số nền tảng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Tầng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Tầng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Tầng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quốc tế hóa và hiệu quả trong giai đoạn 2018 trở đi, nhưng chỉ khi phân tách đúng cấp độ năng lực.</w:t>
      </w:r>
    </w:p>
    <w:bookmarkEnd w:id="41"/>
    <w:bookmarkStart w:id="42"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đến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Nhà quản trị cấp cao</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Phổ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gồm định hướng quốc tế của đội ngũ quản trị cấp cao (Upper Echelons/Hambrick &amp; Mason, 1984; Nielsen &amp; Nielsen, 2011); bị khuôn khổ bởi thể chế nội địa (Institutional Theory/North, 1990), phổ thể chế ICRV 6 nhóm với gánh nặng bắt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bảng dài; một số biến quan trọng theo Uppsala (khoảng cách tâm lý, gắn kết mạng lưới) khó đo trong WBES; TCI và DAI có thể tương quan; ICRV và country hiệu ứng cố định có thể đa cộng; CDCM chỉ đo ở Tầng 1–2 do hạn chế WBES.</w:t>
      </w:r>
    </w:p>
    <w:bookmarkEnd w:id="42"/>
    <w:bookmarkEnd w:id="43"/>
    <w:bookmarkStart w:id="53"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lý thuyết dựa trên nguồn lực, lý thuyết thể chế, lý thuyết thượng tầng quản trị và Khung chấp nhận số nền tảng,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7" w:name="X554d9a38aa5071c54dd41cf832555f814bf88a4"/>
    <w:p>
      <w:pPr>
        <w:pStyle w:val="Heading5"/>
      </w:pPr>
      <w:r>
        <w:t xml:space="preserve">Hình 2.1: Khung khái niệm tích hợp (tổng quan)</w:t>
      </w:r>
    </w:p>
    <w:p>
      <w:pPr>
        <w:pStyle w:val="CaptionedFigure"/>
      </w:pPr>
      <w:r>
        <w:drawing>
          <wp:inline>
            <wp:extent cx="5753100" cy="3040985"/>
            <wp:effectExtent b="0" l="0" r="0" t="0"/>
            <wp:docPr descr="Hình 2.1: Khung khái niệm tích hợp CĐ2" title="" id="45" name="Picture"/>
            <a:graphic>
              <a:graphicData uri="http://schemas.openxmlformats.org/drawingml/2006/picture">
                <pic:pic>
                  <pic:nvPicPr>
                    <pic:cNvPr descr="figures/hinh_2_1_khung_khai_niem.png" id="46" name="Picture"/>
                    <pic:cNvPicPr>
                      <a:picLocks noChangeArrowheads="1" noChangeAspect="1"/>
                    </pic:cNvPicPr>
                  </pic:nvPicPr>
                  <pic:blipFill>
                    <a:blip r:embed="rId44"/>
                    <a:stretch>
                      <a:fillRect/>
                    </a:stretch>
                  </pic:blipFill>
                  <pic:spPr bwMode="auto">
                    <a:xfrm>
                      <a:off x="0" y="0"/>
                      <a:ext cx="5753100" cy="3040985"/>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Mục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ngành/country/year FE) được đưa vào mô hình thực nghiệm nhưng không hiển thị trong sơ đồ để đơn giản hóa trình bày. Mỗi tầng lý thuyết cung cấp cơ chế nhân quả riêng biệt: Uppsala giải thích đường cong quốc tế hóa và hiệu quả; lý thuyết dựa trên nguồn lực biện minh cho H2; Khung chấp nhận số nền tảng (CDCM) biện minh cho H3; lý thuyết thượng tầng quản trị biện minh cho H4; lý thuyết thể chế biện minh cho H5. Bằng chứng neo đậu từ P3 Việt Nam, P4 Singapore và P5 Trung Quốc xác nhận tính khả nghiệm trước khi áp dụng cho toàn mẫu gộp 88.869 doanh nghiệp (50 nền, gồm Nhật Bản).</w:t>
      </w:r>
    </w:p>
    <w:bookmarkEnd w:id="47"/>
    <w:bookmarkStart w:id="51" w:name="hình-2.2-cơ-chế-cdcm-chi-tiết"/>
    <w:p>
      <w:pPr>
        <w:pStyle w:val="Heading5"/>
      </w:pPr>
      <w:r>
        <w:t xml:space="preserve">Hình 2.2: Cơ chế CDCM chi tiết</w:t>
      </w:r>
    </w:p>
    <w:p>
      <w:pPr>
        <w:pStyle w:val="CaptionedFigure"/>
      </w:pPr>
      <w:r>
        <w:drawing>
          <wp:inline>
            <wp:extent cx="5753100" cy="2244603"/>
            <wp:effectExtent b="0" l="0" r="0" t="0"/>
            <wp:docPr descr="Hình 2.2: Cơ chế CDCM theo ba nhóm ICRV" title="" id="49" name="Picture"/>
            <a:graphic>
              <a:graphicData uri="http://schemas.openxmlformats.org/drawingml/2006/picture">
                <pic:pic>
                  <pic:nvPicPr>
                    <pic:cNvPr descr="figures/hinh_2_2_cdcm_detail.png" id="50" name="Picture"/>
                    <pic:cNvPicPr>
                      <a:picLocks noChangeArrowheads="1" noChangeAspect="1"/>
                    </pic:cNvPicPr>
                  </pic:nvPicPr>
                  <pic:blipFill>
                    <a:blip r:embed="rId48"/>
                    <a:stretch>
                      <a:fillRect/>
                    </a:stretch>
                  </pic:blipFill>
                  <pic:spPr bwMode="auto">
                    <a:xfrm>
                      <a:off x="0" y="0"/>
                      <a:ext cx="5753100" cy="2244603"/>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Country–Digital–Capability Moderation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quốc tế hóa và hiệu quả thay đổi theo regime thể chế và mức bão hòa số của nền kinh tế. Nhóm I (Singapore, Advanced I, bão hòa số cao): DAI Tầng 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Tầng 1 là ràng buộc đo lường; tác động dương theo OLS nhưng biến mất sau hiệu chỉnh nội sinh biến công cụ (β = 0,018, p = 0,942; P3). Nhóm III (Trung Quốc, Upper-Middle/Emerging transition, bão hòa số trung bình): DAI Tầng 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1"/>
    <w:bookmarkStart w:id="52"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I–VI, biến giả</w:t>
            </w:r>
          </w:p>
        </w:tc>
        <w:tc>
          <w:tcPr/>
          <w:p>
            <w:pPr>
              <w:pStyle w:val="Compact"/>
              <w:jc w:val="left"/>
            </w:pPr>
            <w:r>
              <w:t xml:space="preserve">Phổ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lược đồ BEE (2019 trở đi). DAI_z_tier1 (Tier 1): z-mean(c22b) có xuyên tất cả lược đồ. FSTS được tính trung tâm theo mean trong mỗi ô quốc gia-sóng trước khi tính FSTS² để giảm đa cộng tuyến.</w:t>
      </w:r>
    </w:p>
    <w:bookmarkEnd w:id="52"/>
    <w:bookmarkEnd w:id="53"/>
    <w:bookmarkStart w:id="62" w:name="hệ-giả-thuyết-nghiên-cứu-h1h6"/>
    <w:p>
      <w:pPr>
        <w:pStyle w:val="Heading4"/>
      </w:pPr>
      <w:r>
        <w:t xml:space="preserve">2.3.4 Hệ giả thuyết nghiên cứu (H1–H6)</w:t>
      </w:r>
    </w:p>
    <w:bookmarkStart w:id="54"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tài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4"/>
    <w:bookmarkStart w:id="55" w:name="X8a9e88460ae4e1b85cd12a03beef213b73b6d78"/>
    <w:p>
      <w:pPr>
        <w:pStyle w:val="Heading5"/>
      </w:pPr>
      <w:r>
        <w:t xml:space="preserve">H1: Phi tuyến trong quan hệ quốc tế hóa và hiệu quả</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và chính sự tồn tại của chữ U ngược khác nhau theo chế độ thể chế: trên khung 50 nền, chữ U ngược định hình rõ nét và tin cậy nhất ở Nhóm IV (điểm uốn 43,0%, trùng các ước lượng đơn quốc gia Việt Nam 39–46% và Ấn Độ 40,7%); ở Nhóm I đường cong duỗi thẳng gần tuyến tính dương (điểm uốn ngoài miền dữ liệu, trùng Singapore); ở Nhóm V quan hệ mất ý nghĩa thống kê và Nhóm VI không có chữ U ngược (~50–55%). Nhóm VI có khuôn mẫu gánh nặng bắt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hoạt động kinh doanh của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phổ thể chế ICRV:</w:t>
      </w:r>
      <w:r>
        <w:t xml:space="preserve"> </w:t>
      </w:r>
      <w:r>
        <w:rPr>
          <w:bCs/>
          <w:b/>
        </w:rPr>
        <w:t xml:space="preserve">thấp nhất ở Nhóm I (~28%)</w:t>
      </w:r>
      <w:r>
        <w:t xml:space="preserve">, tăng dần qua Nhóm III (~47–49%) sang Nhóm IV (~39–46%) sang Nhóm V (~50–55%), với Nhóm VI có khuôn mẫu gánh nặng bắt buộc (không có điểm uốn). Thể chế càng mạnh, doanh nghiệp đạt đỉnh hiệu suất xuất khẩu ở mức cường độ thấp hơn.</w:t>
      </w:r>
    </w:p>
    <w:p>
      <w:pPr>
        <w:pStyle w:val="BodyText"/>
      </w:pPr>
      <w:r>
        <w:t xml:space="preserve">Cơ chế biên tham gia (của H1): Bước chuyển từ không xuất khẩu (FSTS = 0) sang xuất khẩu (FSTS &gt; 0) tạo ra mức tăng năng suất lao động đáng kể và dương, tác động tham gia thị trường xuất khẩu là động lực chính của hiệu ứng quốc tế hóa và hiệu quả.</w:t>
      </w:r>
    </w:p>
    <w:p>
      <w:pPr>
        <w:pStyle w:val="BodyText"/>
      </w:pPr>
      <w:r>
        <w:t xml:space="preserve">Cơ chế biên cường độ (của H1, gần phẳng): Trong mẫu chỉ gồm doanh nghiệp xuất khẩu, đường cong quốc tế hóa và hiệu quả gần phẳng, tức là sau khi đã xuất khẩu, việc tăng cường độ tiếp theo không tạo thêm nhiều lợi ích năng suất nếu không có TCI và DAI đủ mạnh.</w:t>
      </w:r>
    </w:p>
    <w:bookmarkEnd w:id="55"/>
    <w:bookmarkStart w:id="56" w:name="h2-tci-điều-tiết-tích-cực-nâng-mặt-bằng"/>
    <w:p>
      <w:pPr>
        <w:pStyle w:val="Heading5"/>
      </w:pPr>
      <w:r>
        <w:t xml:space="preserve">H2: TCI điều tiết tích cực (nâng mặt bằng)</w:t>
      </w:r>
    </w:p>
    <w:p>
      <w:pPr>
        <w:pStyle w:val="FirstParagraph"/>
      </w:pPr>
      <w:r>
        <w:t xml:space="preserve">Cơ sở lý thuyết: lý thuyết dựa trên nguồn lực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sang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chỉ số năng lực công nghệ (TCI) có mối quan hệ dương trực tiếp với hiệu quả hoạt động kinh doanh của doanh nghiệp (β(TCI) &gt; 0) và nâng mặt bằng ln(LP) của toàn bộ đường cong quốc tế hóa và hiệu quả (hiệu ứng nâng mặt bằng). Tác động điều tiết của TCI lên độ cong của đường cong là câu hỏi thực nghiệm mở và được kiểm định như H2 khám phá trong M3.</w:t>
      </w:r>
    </w:p>
    <w:bookmarkEnd w:id="56"/>
    <w:bookmarkStart w:id="57"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bắt buộc (&gt;40%)</w:t>
            </w:r>
          </w:p>
        </w:tc>
        <w:tc>
          <w:tcPr/>
          <w:p>
            <w:pPr>
              <w:pStyle w:val="Compact"/>
              <w:jc w:val="left"/>
            </w:pPr>
            <w:r>
              <w:t xml:space="preserve">Thấp–trung</w:t>
            </w:r>
          </w:p>
        </w:tc>
        <w:tc>
          <w:tcPr/>
          <w:p>
            <w:pPr>
              <w:pStyle w:val="Compact"/>
              <w:jc w:val="left"/>
            </w:pPr>
            <w:r>
              <w:t xml:space="preserve">Gánh nặng bắt buộc trội</w:t>
            </w:r>
          </w:p>
        </w:tc>
        <w:tc>
          <w:tcPr/>
          <w:p>
            <w:pPr>
              <w:pStyle w:val="Compact"/>
              <w:jc w:val="left"/>
            </w:pPr>
            <w:r>
              <w:t xml:space="preserve">–</w:t>
            </w:r>
          </w:p>
        </w:tc>
        <w:tc>
          <w:tcPr/>
          <w:p>
            <w:pPr>
              <w:pStyle w:val="Compact"/>
              <w:jc w:val="left"/>
            </w:pPr>
            <w:r>
              <w:t xml:space="preserve">I–P gánh nặng bắt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quốc tế hóa và hiệu quả.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sang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7"/>
    <w:bookmarkStart w:id="58" w:name="h4ah4c-đặc-điểm-nhà-quản-trị-điều-tiết"/>
    <w:p>
      <w:pPr>
        <w:pStyle w:val="Heading5"/>
      </w:pPr>
      <w:r>
        <w:t xml:space="preserve">H4a–H4c: Đặc điểm nhà quản trị điều tiết</w:t>
      </w:r>
    </w:p>
    <w:p>
      <w:pPr>
        <w:pStyle w:val="FirstParagraph"/>
      </w:pPr>
      <w:r>
        <w:t xml:space="preserve">Cơ sở lý thuyết: lý thuyết thượng tầng quản trị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sang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sang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tài liệu lý thuyết thượng tầng quản trị không đồng nhất về chiều hướng cho châu Á (Hambrick, 2007); H4c vì vậy là exploratory.</w:t>
      </w:r>
    </w:p>
    <w:p>
      <w:pPr>
        <w:pStyle w:val="BodyText"/>
      </w:pPr>
      <w:r>
        <w:t xml:space="preserve">Phạm vi kiểm định: H4a–H4b là biến đại diện (proxy) cho cơ chế lý thuyết thượng tầng quản trị, kết quả là chỉ báo gián tiếp, không phải kiểm định trực tiếp cấu trúc lý thuyết gốc. Hạn chế này cần được thừa nhận rõ trong phần thảo luận kết quả.</w:t>
      </w:r>
    </w:p>
    <w:bookmarkEnd w:id="58"/>
    <w:bookmarkStart w:id="59" w:name="Xdc105cdbc1f44bae5408ec2aee9fc7cd8005d15"/>
    <w:p>
      <w:pPr>
        <w:pStyle w:val="Heading5"/>
      </w:pPr>
      <w:r>
        <w:t xml:space="preserve">H5: Thể chế ICRV điều tiết theo phổ thể chế</w:t>
      </w:r>
    </w:p>
    <w:p>
      <w:pPr>
        <w:pStyle w:val="FirstParagraph"/>
      </w:pPr>
      <w:r>
        <w:t xml:space="preserve">Cơ sở lý thuyết: lý thuyết thể chế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gần tuyến tính dương; điểm uốn ngoài miền dữ liệu</w:t>
            </w:r>
          </w:p>
        </w:tc>
        <w:tc>
          <w:tcPr/>
          <w:p>
            <w:pPr>
              <w:pStyle w:val="Compact"/>
              <w:jc w:val="left"/>
            </w:pPr>
            <w:r>
              <w:t xml:space="preserve">P7 50 nền: TP gộp M5 = 43,6% (N=79.080; M2 N=81.022); trong Nhóm I đường cong không định hình (LM p = ,30), nhất quán P4 Singapore (TP ~88,6%, LM p = ,303, không có ý nghĩa)</w:t>
            </w:r>
          </w:p>
        </w:tc>
      </w:tr>
      <w:tr>
        <w:tc>
          <w:tcPr/>
          <w:p>
            <w:pPr>
              <w:pStyle w:val="Compact"/>
              <w:jc w:val="left"/>
            </w:pPr>
            <w:r>
              <w:t xml:space="preserve">Nhóm II (tiên tiến tài nguyên)</w:t>
            </w:r>
          </w:p>
        </w:tc>
        <w:tc>
          <w:tcPr/>
          <w:p>
            <w:pPr>
              <w:pStyle w:val="Compact"/>
              <w:jc w:val="left"/>
            </w:pPr>
            <w:r>
              <w:t xml:space="preserve">Chữ U ngược ở biên ý nghĩa (~62%)</w:t>
            </w:r>
          </w:p>
        </w:tc>
        <w:tc>
          <w:tcPr/>
          <w:p>
            <w:pPr>
              <w:pStyle w:val="Compact"/>
              <w:jc w:val="left"/>
            </w:pPr>
            <w:r>
              <w:t xml:space="preserve">Kết quả 50 nền: TP 62,0%, LM p = ,081</w:t>
            </w:r>
          </w:p>
        </w:tc>
      </w:tr>
      <w:tr>
        <w:tc>
          <w:tcPr/>
          <w:p>
            <w:pPr>
              <w:pStyle w:val="Compact"/>
              <w:jc w:val="left"/>
            </w:pPr>
            <w:r>
              <w:t xml:space="preserve">Nhóm III (trung bình cao)</w:t>
            </w:r>
          </w:p>
        </w:tc>
        <w:tc>
          <w:tcPr/>
          <w:p>
            <w:pPr>
              <w:pStyle w:val="Compact"/>
              <w:jc w:val="left"/>
            </w:pPr>
            <w:r>
              <w:t xml:space="preserve">Không xác định ở cấp nhóm; ~47–49% ở Trung Quốc</w:t>
            </w:r>
          </w:p>
        </w:tc>
        <w:tc>
          <w:tcPr/>
          <w:p>
            <w:pPr>
              <w:pStyle w:val="Compact"/>
              <w:jc w:val="left"/>
            </w:pPr>
            <w:r>
              <w:t xml:space="preserve">Kết quả 50 nền: LM p = ,26; P5 Trung Quốc TP 47–49%***</w:t>
            </w:r>
          </w:p>
        </w:tc>
      </w:tr>
      <w:tr>
        <w:tc>
          <w:tcPr/>
          <w:p>
            <w:pPr>
              <w:pStyle w:val="Compact"/>
              <w:jc w:val="left"/>
            </w:pPr>
            <w:r>
              <w:t xml:space="preserve">Nhóm IV (chuyển đổi TB-thấp)</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(đang nổi)</w:t>
            </w:r>
          </w:p>
        </w:tc>
        <w:tc>
          <w:tcPr/>
          <w:p>
            <w:pPr>
              <w:pStyle w:val="Compact"/>
              <w:jc w:val="left"/>
            </w:pPr>
            <w:r>
              <w:t xml:space="preserve">Quan hệ mất cấu trúc, không xác định</w:t>
            </w:r>
          </w:p>
        </w:tc>
        <w:tc>
          <w:tcPr/>
          <w:p>
            <w:pPr>
              <w:pStyle w:val="Compact"/>
              <w:jc w:val="left"/>
            </w:pPr>
            <w:r>
              <w:t xml:space="preserve">Kết quả 50 nền: LM p = ,18; khoảng trống thể chế làm phần thưởng nhỏ và bất định</w:t>
            </w:r>
          </w:p>
        </w:tc>
      </w:tr>
      <w:tr>
        <w:tc>
          <w:tcPr/>
          <w:p>
            <w:pPr>
              <w:pStyle w:val="Compact"/>
              <w:jc w:val="left"/>
            </w:pPr>
            <w:r>
              <w:t xml:space="preserve">Nhóm VI (SIDS)</w:t>
            </w:r>
          </w:p>
        </w:tc>
        <w:tc>
          <w:tcPr/>
          <w:p>
            <w:pPr>
              <w:pStyle w:val="Compact"/>
              <w:jc w:val="left"/>
            </w:pPr>
            <w:r>
              <w:t xml:space="preserve">Không có TP / gánh nặng bắt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quốc tế hóa và hiệu quả có dạng ba vùng: chữ U ngược định hình rõ ở vùng giữa phổ thể chế (Nhóm IV, điểm uốn 43,0%); duỗi thẳng gần tuyến tính dương ở biên trên (Nhóm I–II); mất cấu trúc ở biên dưới (Nhóm V không ý nghĩa; Nhóm VI có khuôn mẫu gánh nặng bắt buộc). Thể chế càng mạnh; ở biên trên phổ thể chế, chi phí giao dịch thấp và năng lực điều phối cao đẩy nhánh đi xuống ra ngoài miền quan sát thay vì tạo đỉnh sớm hơn.</w:t>
      </w:r>
    </w:p>
    <w:bookmarkEnd w:id="59"/>
    <w:bookmarkStart w:id="60"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quốc tế hóa và hiệu quả.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quốc tế hóa và hiệu quả dịch chuyển đáng kể. P5 Trung Quốc: TCI Paternoster p = 0,011, hiệu ứng TCI tăng cường 2012 xuống 2024. P5 Trung Quốc: FSTS Paternoster p = 0,545, điểm uốn ổn định (bền vững cấu trúc H2b xác nhận).</w:t>
      </w:r>
    </w:p>
    <w:p>
      <w:pPr>
        <w:pStyle w:val="BodyText"/>
      </w:pPr>
      <w:r>
        <w:t xml:space="preserve">H6: Tác động của quốc tế hóa lên hiệu quả hoạt động kinh doanh của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0"/>
    <w:bookmarkStart w:id="61"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đến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Phổ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phổ thể chế; Nhóm VI gánh nặng bắt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 với hai cơ chế biên tham gia và biên cường độ, H2, H3a–H3b với H3c distinctiveness, H4a–H4c, H5, H6) tạo thành hệ thống logic nhất quán: H1 cùng hai cơ chế biên tham gia và biên cường độ (phi tuyến) là trọng tâm; H2 (TCI nâng mặt bằng) và H3a/H3b (DAI phụ thuộc regime) phân rã cơ chế năng lực doanh nghiệp với dấu kỳ vọng khác nhau theo ngữ cảnh; H4a–H4c (Quản trị) bổ sung tầng lý thuyết thượng tầng quản trị với dấu kỳ vọng phân biệt theo đặc điểm nhà quản trị; H5 (ICRV phổ thể chế)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quốc tế hóa và hiệu quả ở Nhóm I, câu hỏi chưa được trả lời trong bất kỳ nghiên cứu quốc tế hóa và hiệu quả nào trước đây.</w:t>
      </w:r>
    </w:p>
    <w:bookmarkEnd w:id="61"/>
    <w:bookmarkEnd w:id="62"/>
    <w:bookmarkStart w:id="73" w:name="thiết-kế-mô-hình-thực-nghiệm-m0m7"/>
    <w:p>
      <w:pPr>
        <w:pStyle w:val="Heading4"/>
      </w:pPr>
      <w:r>
        <w:t xml:space="preserve">2.3.5 Thiết kế mô hình thực nghiệm (M0–M7)</w:t>
      </w:r>
    </w:p>
    <w:bookmarkStart w:id="63"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hiệu ứng cố định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3"/>
    <w:bookmarkStart w:id="64" w:name="m0-cơ-sở-tuyến-tính"/>
    <w:p>
      <w:pPr>
        <w:pStyle w:val="Heading5"/>
      </w:pPr>
      <w:r>
        <w:t xml:space="preserve">M0: Cơ sở tuyến tính</w:t>
      </w:r>
    </w:p>
    <w:p>
      <w:pPr>
        <w:pStyle w:val="FirstParagraph"/>
      </w:pPr>
    </w:p>
    <w:p>
      <w:pPr>
        <w:pStyle w:val="BodyText"/>
      </w:pPr>
      <w:r>
        <w:t xml:space="preserve">Mục đích: thiết lập cơ sở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4"/>
    <w:bookmarkStart w:id="65"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tài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5"/>
    <w:bookmarkStart w:id="66"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6"/>
    <w:bookmarkStart w:id="67"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điều tiết kết hợp (joint moderation); nếu p &gt; 0,10 sang TCI là nâng mặt bằng thuần túy.</w:t>
      </w:r>
    </w:p>
    <w:bookmarkEnd w:id="67"/>
    <w:bookmarkStart w:id="68"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rồi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8"/>
    <w:bookmarkStart w:id="69"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69"/>
    <w:bookmarkStart w:id="70"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phổ thể chế ICRV và gánh nặng bắt buộc (Nhóm VI).</w:t>
      </w:r>
      <w:r>
        <w:t xml:space="preserve"> </w:t>
      </w:r>
      <w:r>
        <w:t xml:space="preserve">Nhóm tham chiếu: Nhóm I (tiên tiến đổi mới).</w:t>
      </w:r>
      <w:r>
        <w:t xml:space="preserve"> </w:t>
      </w:r>
      <w:r>
        <w:t xml:space="preserve">Kỳ vọng: cấu trúc ba vùng: hệ số bậc hai âm và có ý nghĩa chỉ ở Nhóm IV (và biên ý nghĩa ở Nhóm II); không ý nghĩa ở Nhóm I, III, V; Nhóm VI không có chữ U ngược; Nhóm VI có β(FSTS×ICRV_VI) ≤ 0 (neo đậu P8: FIP β = −1,339, SE 0,386, p &lt; 0,001).</w:t>
      </w:r>
      <w:r>
        <w:t xml:space="preserve"> </w:t>
      </w:r>
      <w:r>
        <w:t xml:space="preserve">Lưu ý: Country FE bị omit trong M6 do ICRV_j là biến cấp quốc gia bất biến theo thời gian, thay bằng Year FE + Region FE (6 vùng).</w:t>
      </w:r>
    </w:p>
    <w:bookmarkEnd w:id="70"/>
    <w:bookmarkStart w:id="71"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mẫu gộp 88.869 (50 nền, gồm Nhật Bản).</w:t>
      </w:r>
    </w:p>
    <w:bookmarkEnd w:id="71"/>
    <w:bookmarkStart w:id="72"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Phổ TP; gánh nặng bắt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2"/>
    <w:bookmarkEnd w:id="73"/>
    <w:bookmarkStart w:id="78" w:name="dữ-liệu-và-chiến-lược-nhận-dạng-nhân-quả"/>
    <w:p>
      <w:pPr>
        <w:pStyle w:val="Heading4"/>
      </w:pPr>
      <w:r>
        <w:t xml:space="preserve">2.3.6 Dữ liệu và chiến lược nhận dạng nhân quả</w:t>
      </w:r>
    </w:p>
    <w:bookmarkStart w:id="74" w:name="nguồn-dữ-liệu-và-cấu-trúc-mẫu-gộp"/>
    <w:p>
      <w:pPr>
        <w:pStyle w:val="Heading5"/>
      </w:pPr>
      <w:r>
        <w:t xml:space="preserve">Nguồn dữ liệu và cấu trúc mẫu gộp</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Mẫu gộp chuyên đề: khung 50 nền kinh tế châu Á và Thái Bình Dương (gồm Nhật Bản 2025), 88.869 doanh nghiệp, 103 cặp nền kinh tế–năm trong giai đoạn 2006–2026; mẫu hồi quy chính của vòng ước lượng chính thức: M2 N = 81.022, M5 N = 79.080.</w:t>
      </w:r>
    </w:p>
    <w:p>
      <w:pPr>
        <w:pStyle w:val="BodyText"/>
      </w:pPr>
      <w:r>
        <w:t xml:space="preserve">Bảng 2.8. Cấu trúc mẫu gộp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Adv. đổi mới (</w:t>
            </w:r>
            <w:r>
              <w:rPr>
                <w:rStyle w:val="VerbatimChar"/>
              </w:rPr>
              <w:t xml:space="preserve">Advanced_innovation</w:t>
            </w:r>
            <w:r>
              <w:t xml:space="preserve">)</w:t>
            </w:r>
          </w:p>
        </w:tc>
        <w:tc>
          <w:tcPr/>
          <w:p>
            <w:pPr>
              <w:pStyle w:val="Compact"/>
              <w:jc w:val="left"/>
            </w:pPr>
            <w:r>
              <w:t xml:space="preserve">Singapore, HongKong, Hàn Quốc, Đài Loan, Israel, Nhật Bản¹</w:t>
            </w:r>
          </w:p>
        </w:tc>
        <w:tc>
          <w:tcPr/>
          <w:p>
            <w:pPr>
              <w:pStyle w:val="Compact"/>
              <w:jc w:val="center"/>
            </w:pPr>
            <w:r>
              <w:t xml:space="preserve">6</w:t>
            </w:r>
          </w:p>
        </w:tc>
        <w:tc>
          <w:tcPr/>
          <w:p>
            <w:pPr>
              <w:pStyle w:val="Compact"/>
              <w:jc w:val="center"/>
            </w:pPr>
            <w:r>
              <w:t xml:space="preserve">6.390</w:t>
            </w:r>
          </w:p>
        </w:tc>
      </w:tr>
      <w:tr>
        <w:tc>
          <w:tcPr/>
          <w:p>
            <w:pPr>
              <w:pStyle w:val="Compact"/>
              <w:jc w:val="left"/>
            </w:pPr>
            <w:r>
              <w:t xml:space="preserve">II,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2.231</w:t>
            </w:r>
          </w:p>
        </w:tc>
      </w:tr>
      <w:tr>
        <w:tc>
          <w:tcPr/>
          <w:p>
            <w:pPr>
              <w:pStyle w:val="Compact"/>
              <w:jc w:val="left"/>
            </w:pPr>
            <w:r>
              <w:t xml:space="preserve">III,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45.003</w:t>
            </w:r>
          </w:p>
        </w:tc>
      </w:tr>
      <w:tr>
        <w:tc>
          <w:tcPr/>
          <w:p>
            <w:pPr>
              <w:pStyle w:val="Compact"/>
              <w:jc w:val="left"/>
            </w:pPr>
            <w:r>
              <w:t xml:space="preserve">V,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18.589</w:t>
            </w:r>
          </w:p>
        </w:tc>
      </w:tr>
      <w:tr>
        <w:tc>
          <w:tcPr/>
          <w:p>
            <w:pPr>
              <w:pStyle w:val="Compact"/>
              <w:jc w:val="left"/>
            </w:pPr>
            <w:r>
              <w:t xml:space="preserve">VI,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2.295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50</w:t>
            </w:r>
          </w:p>
        </w:tc>
        <w:tc>
          <w:tcPr/>
          <w:p>
            <w:pPr>
              <w:pStyle w:val="Compact"/>
              <w:jc w:val="center"/>
            </w:pPr>
            <w:r>
              <w:rPr>
                <w:bCs/>
                <w:b/>
              </w:rPr>
              <w:t xml:space="preserve">88.869</w:t>
            </w:r>
            <w:r>
              <w:t xml:space="preserve"> </w:t>
            </w:r>
            <w:r>
              <w:t xml:space="preserve">(mẫu gộp mô tả; N hồi quy M2 = 81.022)</w:t>
            </w:r>
          </w:p>
        </w:tc>
      </w:tr>
    </w:tbl>
    <w:p>
      <w:pPr>
        <w:pStyle w:val="BodyText"/>
      </w:pPr>
      <w:r>
        <w:rPr>
          <w:iCs/>
          <w:i/>
        </w:rPr>
        <w:t xml:space="preserve">Ghi chú: ¹Nhật Bản được WBES khảo sát lần đầu năm 2025 (n=2.168) và là thành viên thứ sáu của Nhóm I trong khung 50 nền; vòng tái ước lượng 50 nền gồm Nhật Bản đã hoàn tất nên mô tả và ước lượng (P7) nay dùng chung MỘT khung 50 nền/88.869 quan sát (hồi quy M2 N=81.022; M5 N=79.080).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Mẫu gộp phân loại đầy đủ = 96.415 DN/52 nền; loại 2 nền ngoài châu Á (Turkey, Cyprus) sang khung phân tích 50 nền Á–TBD (gồm Nhật Bản) = 88.869 DN.</w:t>
      </w:r>
    </w:p>
    <w:p>
      <w:pPr>
        <w:pStyle w:val="BodyText"/>
      </w:pPr>
      <w:r>
        <w:t xml:space="preserve">Ba thế hệ lược đồ WBES và giao thức hòa hợp: PICS3 (2006–2012): biến FSTS từ d3b/d3c; TCI từ h1/h8/b8; DAI từ c22b only. Standardized (2013–2017): biến tái định dạng nhưng tương thích. BREADY/BEE (2018–2025): lược đồ mở rộng; DAI đầy đủ (c22b + k33 + k38); phân hệ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quốc tế hóa và hiệu quả tại cấp doanh nghiệp (conditional on observables), không phải ước lượng thống kê mô tả đại diện tổng thể. Thứ hai, hai chiều hiệu ứng cố định (quốc gia × năm) đã hấp thụ phần lớn biến thiên liên quan đến thiết kế lấy mẫu phân tầng. Thứ ba, tích hợp trọng số mẫu vào mô hình hiệu ứng cố định không đồng nhất gây phức tạp ước lượng mà không đem lại cải thiện tính hợp lệ nội tại (Solon et al., 2015). Phân tích độ nhạy với trọng số được đề xuất như kiểm định tương lai (xem Mục 2.4.2) để xác nhận tính vững của kết quả so với mẫu không có trọng số.</w:t>
      </w:r>
    </w:p>
    <w:p>
      <w:pPr>
        <w:pStyle w:val="BodyText"/>
      </w:pPr>
      <w:r>
        <w:t xml:space="preserve">Giao thức hòa hợp bao gồm: crosswalk biến giữa ba lược đồ; xử lý giá trị thiếu; loại bỏ ngoại lệ tại phân vị 1/99 trong cụm nền kinh tế × năm; và chuẩn hóa năng suất xuyên tiền tệ (xem dưới).</w:t>
      </w:r>
    </w:p>
    <w:bookmarkEnd w:id="74"/>
    <w:bookmarkStart w:id="75"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rPr>
                <m:sty m:val="p"/>
              </m:rPr>
              <m:t>L</m:t>
            </m:r>
            <m:r>
              <m:rPr>
                <m:sty m:val="p"/>
              </m:rP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quốc tế hóa và hiệu quả được nhận dạng từ biến thiên</w:t>
      </w:r>
      <w:r>
        <w:t xml:space="preserve"> </w:t>
      </w:r>
      <w:r>
        <w:rPr>
          <w:iCs/>
          <w:i/>
        </w:rPr>
        <w:t xml:space="preserve">nội bộ</w:t>
      </w:r>
      <w:r>
        <w:t xml:space="preserve"> </w:t>
      </w:r>
      <w:r>
        <w:t xml:space="preserve">nền kinh tế–năm, nhất quán với Phụ lục A của luận án (Mục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rPr>
                <m:sty m:val="p"/>
              </m:rPr>
              <m:t>L</m:t>
            </m:r>
            <m:r>
              <m:rPr>
                <m:sty m:val="p"/>
              </m:rPr>
              <m:t>P</m:t>
            </m:r>
          </m:e>
        </m:d>
      </m:oMath>
      <w:r>
        <w:t xml:space="preserve"> </w:t>
      </w:r>
      <w:r>
        <w:t xml:space="preserve">thô. Giá trị được cắt đuôi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tài liệu quốc tế hóa và hiệu quả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lockText"/>
      </w:pPr>
      <w:r>
        <w:rPr>
          <w:iCs/>
          <w:i/>
        </w:rPr>
        <w:t xml:space="preserve">Lưu ý phân biệt biến thể TCI:</w:t>
      </w:r>
      <w:r>
        <w:t xml:space="preserve"> </w:t>
      </w:r>
      <w:r>
        <w:t xml:space="preserve">Chuyên đề 2 dùng biến thể</w:t>
      </w:r>
      <w:r>
        <w:t xml:space="preserve"> </w:t>
      </w:r>
      <w:r>
        <w:rPr>
          <w:bCs/>
          <w:b/>
        </w:rPr>
        <w:t xml:space="preserve">đầy đủ 4 mục</w:t>
      </w:r>
      <w:r>
        <w:t xml:space="preserve"> </w:t>
      </w:r>
      <w:r>
        <w:t xml:space="preserve">(≥3/4 của b8, h8, h1, e6) khả dụng trên mẫu gộp mô tả; trong khi nghiên cứu đa quốc gia P7 và Mục 3.4.5.4 của luận án dùng biến thể</w:t>
      </w:r>
      <w:r>
        <w:t xml:space="preserve"> </w:t>
      </w:r>
      <w:r>
        <w:rPr>
          <w:bCs/>
          <w:b/>
        </w:rPr>
        <w:t xml:space="preserve">thin 2 mục</w:t>
      </w:r>
      <w:r>
        <w:t xml:space="preserve"> </w:t>
      </w:r>
      <w:r>
        <w:t xml:space="preserve">(b8 chứng chỉ chất lượng + e6 công nghệ nước ngoài) để tối đa hóa độ phủ trên 50 nền kinh tế. Cả hai cùng đo construct formative</w:t>
      </w:r>
      <w:r>
        <w:t xml:space="preserve"> </w:t>
      </w:r>
      <w:r>
        <w:rPr>
          <w:iCs/>
          <w:i/>
        </w:rPr>
        <w:t xml:space="preserve">năng lực công nghệ</w:t>
      </w:r>
      <w:r>
        <w:t xml:space="preserve">; khác biệt về bộ mục phản ánh ràng buộc khả dụng dữ liệu, không phải định nghĩa mâu thuẫn. Hệ số trong chuyên đề được tính từ chính bộ 4 mục này.</w:t>
      </w:r>
    </w:p>
    <w:p>
      <w:pPr>
        <w:pStyle w:val="FirstParagraph"/>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lược đồ BEE (2019 trở đi).</w:t>
      </w:r>
      <w:r>
        <w:t xml:space="preserve"> </w:t>
      </w:r>
      <w:r>
        <w:t xml:space="preserve">DAI_z_tier1 (Tier 1 only): z-mean(c22b), có xuyên tất cả lược đồ.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lược đồ và kiểm định độ vững.</w:t>
      </w:r>
    </w:p>
    <w:bookmarkEnd w:id="75"/>
    <w:bookmarkStart w:id="76" w:name="phân-loại-icrv-6-nhóm"/>
    <w:p>
      <w:pPr>
        <w:pStyle w:val="Heading5"/>
      </w:pPr>
      <w:r>
        <w:t xml:space="preserve">Phân loại ICRV 6 nhóm</w:t>
      </w:r>
    </w:p>
    <w:p>
      <w:pPr>
        <w:pStyle w:val="FirstParagraph"/>
      </w:pPr>
      <w:r>
        <w:t xml:space="preserve">Bảng 2.11. Phân loại 50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 Nhật Bản</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bắt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6 + 6 + 6 + 7 + 17 + 8 =</w:t>
      </w:r>
      <w:r>
        <w:t xml:space="preserve"> </w:t>
      </w:r>
      <w:r>
        <w:rPr>
          <w:bCs/>
          <w:b/>
        </w:rPr>
        <w:t xml:space="preserve">50 nền kinh tế châu Á–Thái Bình Dương</w:t>
      </w:r>
      <w:r>
        <w:t xml:space="preserve"> </w:t>
      </w:r>
      <w:r>
        <w:t xml:space="preserve">(gồm Nhật Bản; căn theo nhãn</w:t>
      </w:r>
      <w:r>
        <w:t xml:space="preserve"> </w:t>
      </w:r>
      <w:r>
        <w:rPr>
          <w:rStyle w:val="VerbatimChar"/>
        </w:rPr>
        <w:t xml:space="preserve">icrv_label</w:t>
      </w:r>
      <w:r>
        <w:t xml:space="preserve"> </w:t>
      </w:r>
      <w:r>
        <w:t xml:space="preserve">dữ liệu P7).</w:t>
      </w:r>
      <w:r>
        <w:t xml:space="preserve"> </w:t>
      </w:r>
      <w:r>
        <w:rPr>
          <w:iCs/>
          <w:i/>
        </w:rPr>
        <w:t xml:space="preserve">(Mẫu gộp phân loại đầy đủ 52 nền/96.415 DN gồm thêm Turkey, Cyprus ngoài châu Á, loại khỏi khung 50. P8 mẫu chính 7 nền Pacific; độ vững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50 nền kinh tế không thay đổi nhóm ICRV trong giai đoạn 2009–2025 (ngưỡng kiểm tra: chuyển nhóm nếu GNI/người vượt ngưỡng ±15% trong ≥3 năm liên tiếp, không có trường hợp nào).</w:t>
      </w:r>
    </w:p>
    <w:bookmarkEnd w:id="76"/>
    <w:bookmarkStart w:id="77" w:name="chiến-lược-nhận-dạng-nhân-quả"/>
    <w:p>
      <w:pPr>
        <w:pStyle w:val="Heading5"/>
      </w:pPr>
      <w:r>
        <w:t xml:space="preserve">Chiến lược nhận dạng nhân quả</w:t>
      </w:r>
    </w:p>
    <w:p>
      <w:pPr>
        <w:pStyle w:val="FirstParagraph"/>
      </w:pPr>
      <w:r>
        <w:t xml:space="preserve">Tầng 1, OLS với SE robust và hiệu ứng cố định (tất cả mô hình M0–M7): HC1 SE (chuẩn), điều chỉnh không đồng nhất phương sai cấp doanh nghiệp; hiệu ứng cố định hai chiều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sang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sang bằng chứng xác nhận không phụ thuộc giả định phân phối.</w:t>
      </w:r>
    </w:p>
    <w:p>
      <w:pPr>
        <w:pStyle w:val="BodyText"/>
      </w:pPr>
      <w:r>
        <w:t xml:space="preserve">Tầng 4, Nhân rộng mẫu con: Mẫu gộp đủ lớn (88.869 / 50 nền, gồm Nhật Bản) cho phép chạy M0–M7 riêng cho từng nhóm ICRV (Nhóm I: 6.390; Nhóm IV: 45.003) để kiểm định tính không đồng nhất.</w:t>
      </w:r>
    </w:p>
    <w:bookmarkEnd w:id="77"/>
    <w:bookmarkEnd w:id="78"/>
    <w:bookmarkStart w:id="79"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sang ROS; (b) Biến độc lập sang biến giả xuất khẩu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cho kết quả không tìm thấy phi tuyến; (b) Thay TCI bằng nhiễu cho kết quả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p>
      <w:pPr>
        <w:pStyle w:val="BodyText"/>
      </w:pPr>
      <w:r>
        <w:rPr>
          <w:bCs/>
          <w:b/>
        </w:rPr>
        <w:t xml:space="preserve">Cập nhật kết quả thực hiện (khung 50 nền P7).</w:t>
      </w:r>
      <w:r>
        <w:t xml:space="preserve"> </w:t>
      </w:r>
      <w:r>
        <w:t xml:space="preserve">Bốn nhóm kiểm định cốt lõi của kế hoạch trên đã được thực hiện trên khung ước lượng 50 nền của luận án, tái lập đúng đặc tả canonical (M2: điểm uốn 51,5%,</w:t>
      </w:r>
      <w:r>
        <w:t xml:space="preserve"> </w:t>
      </w:r>
      <m:oMath>
        <m:sSub>
          <m:e>
            <m:r>
              <m:t>β</m:t>
            </m:r>
          </m:e>
          <m:sub>
            <m:r>
              <m:t>2</m:t>
            </m:r>
          </m:sub>
        </m:sSub>
        <m:r>
          <m:rPr>
            <m:sty m:val="p"/>
          </m:rPr>
          <m:t>=</m:t>
        </m:r>
        <m:r>
          <m:rPr>
            <m:sty m:val="p"/>
          </m:rPr>
          <m:t>−</m:t>
        </m:r>
        <m:r>
          <m:t>1</m:t>
        </m:r>
        <m:r>
          <m:rPr>
            <m:sty m:val="p"/>
          </m:rPr>
          <m:t>,</m:t>
        </m:r>
        <m:r>
          <m:t>399</m:t>
        </m:r>
      </m:oMath>
      <w:r>
        <w:t xml:space="preserve">,</w:t>
      </w:r>
      <w:r>
        <w:t xml:space="preserve"> </w:t>
      </w:r>
      <m:oMath>
        <m:r>
          <m:t>p</m:t>
        </m:r>
        <m:r>
          <m:rPr>
            <m:sty m:val="p"/>
          </m:rPr>
          <m:t>&lt;</m:t>
        </m:r>
        <m:r>
          <m:rPr>
            <m:sty m:val="p"/>
          </m:rPr>
          <m:t>,</m:t>
        </m:r>
        <m:r>
          <m:t>001</m:t>
        </m:r>
      </m:oMath>
      <w:r>
        <w:t xml:space="preserve">).</w:t>
      </w:r>
      <w:r>
        <w:t xml:space="preserve"> </w:t>
      </w:r>
      <w:r>
        <w:rPr>
          <w:iCs/>
          <w:i/>
        </w:rPr>
        <w:t xml:space="preserve">Về suy luận cụm nhỏ (R3):</w:t>
      </w:r>
      <w:r>
        <w:t xml:space="preserve"> </w:t>
      </w:r>
      <w:r>
        <w:t xml:space="preserve">bootstrap cụm hoang dã (wild-cluster, Cameron–Gelbach–Miller, B = 9.999, cụm theo nền kinh tế) cho thấy độ cong theo từng nhóm ICRV nhạy cảm với số cụm; độ cong vùng chuyển đổi (Nhóm IV) nới từ</w:t>
      </w:r>
      <w:r>
        <w:t xml:space="preserve"> </w:t>
      </w:r>
      <m:oMath>
        <m:r>
          <m:t>p</m:t>
        </m:r>
        <m:r>
          <m:rPr>
            <m:sty m:val="p"/>
          </m:rPr>
          <m:t>=</m:t>
        </m:r>
        <m:r>
          <m:t>0</m:t>
        </m:r>
        <m:r>
          <m:rPr>
            <m:sty m:val="p"/>
          </m:rPr>
          <m:t>,</m:t>
        </m:r>
        <m:r>
          <m:t>001</m:t>
        </m:r>
      </m:oMath>
      <w:r>
        <w:t xml:space="preserve"> </w:t>
      </w:r>
      <w:r>
        <w:t xml:space="preserve">(CRV1) lên</w:t>
      </w:r>
      <w:r>
        <w:t xml:space="preserve"> </w:t>
      </w:r>
      <m:oMath>
        <m:r>
          <m:rPr>
            <m:sty m:val="p"/>
          </m:rPr>
          <m:t>≈</m:t>
        </m:r>
        <m:r>
          <m:t>0</m:t>
        </m:r>
        <m:r>
          <m:rPr>
            <m:sty m:val="p"/>
          </m:rPr>
          <m:t>,</m:t>
        </m:r>
        <m:r>
          <m:t>10</m:t>
        </m:r>
      </m:oMath>
      <w:r>
        <w:t xml:space="preserve">, xác nhận suy luận phi tuyến hình thức được neo ở cấp gộp (49 cụm) và phân tích tổng hợp P6, còn các điểm uốn theo nhóm được đọc như một phổ mô tả chứ không phải kiểm định độc lập đủ công suất.</w:t>
      </w:r>
      <w:r>
        <w:t xml:space="preserve"> </w:t>
      </w:r>
      <w:r>
        <w:rPr>
          <w:iCs/>
          <w:i/>
        </w:rPr>
        <w:t xml:space="preserve">Về tự do lựa chọn của nhà nghiên cứu (R6):</w:t>
      </w:r>
      <w:r>
        <w:t xml:space="preserve"> </w:t>
      </w:r>
      <w:r>
        <w:t xml:space="preserve">hiệu chỉnh đa kiểm định Holm/Bonferroni cho cả họ bốn tương tác TCI/DAI giữ nguyên không có ý nghĩa, nên kết luận năng lực là yếu tố nâng mặt bằng không phải âm tính giả do kiểm định lặp.</w:t>
      </w:r>
      <w:r>
        <w:t xml:space="preserve"> </w:t>
      </w:r>
      <w:r>
        <w:rPr>
          <w:iCs/>
          <w:i/>
        </w:rPr>
        <w:t xml:space="preserve">Về bất biến đo lường (R1):</w:t>
      </w:r>
      <w:r>
        <w:t xml:space="preserve"> </w:t>
      </w:r>
      <w:r>
        <w:t xml:space="preserve">các mục lõi TCI và DAI hiện diện khoảng</w:t>
      </w:r>
      <w:r>
        <w:t xml:space="preserve"> </w:t>
      </w:r>
      <m:oMath>
        <m:r>
          <m:t>99</m:t>
        </m:r>
        <m:r>
          <m:rPr>
            <m:sty m:val="p"/>
          </m:rPr>
          <m:t>%</m:t>
        </m:r>
      </m:oMath>
      <w:r>
        <w:t xml:space="preserve"> </w:t>
      </w:r>
      <w:r>
        <w:t xml:space="preserve">ở cả ba thế hệ lược đồ và trung bình DAI tăng đơn điệu (</w:t>
      </w:r>
      <m:oMath>
        <m:r>
          <m:t>0</m:t>
        </m:r>
        <m:r>
          <m:rPr>
            <m:sty m:val="p"/>
          </m:rPr>
          <m:t>,</m:t>
        </m:r>
        <m:r>
          <m:t>30</m:t>
        </m:r>
        <m:r>
          <m:rPr>
            <m:sty m:val="p"/>
          </m:rPr>
          <m:t>→</m:t>
        </m:r>
        <m:r>
          <m:t>0</m:t>
        </m:r>
        <m:r>
          <m:rPr>
            <m:sty m:val="p"/>
          </m:rPr>
          <m:t>,</m:t>
        </m:r>
        <m:r>
          <m:t>46</m:t>
        </m:r>
        <m:r>
          <m:rPr>
            <m:sty m:val="p"/>
          </m:rPr>
          <m:t>→</m:t>
        </m:r>
        <m:r>
          <m:t>0</m:t>
        </m:r>
        <m:r>
          <m:rPr>
            <m:sty m:val="p"/>
          </m:rPr>
          <m:t>,</m:t>
        </m:r>
        <m:r>
          <m:t>53</m:t>
        </m:r>
      </m:oMath>
      <w:r>
        <w:t xml:space="preserve">) phản ánh khuếch tán số thực chất, nên so sánh chéo đợt là có cơ sở.</w:t>
      </w:r>
      <w:r>
        <w:t xml:space="preserve"> </w:t>
      </w:r>
      <w:r>
        <w:rPr>
          <w:iCs/>
          <w:i/>
        </w:rPr>
        <w:t xml:space="preserve">Về nội sinh chọn lọc (R4):</w:t>
      </w:r>
      <w:r>
        <w:t xml:space="preserve"> </w:t>
      </w:r>
      <w:r>
        <w:t xml:space="preserve">thêm tỷ số Mills nghịch đảo từ probit tham gia xuất khẩu giữ nguyên độ cong chữ U ngược và điểm uốn (</w:t>
      </w:r>
      <m:oMath>
        <m:r>
          <m:t>43</m:t>
        </m:r>
        <m:r>
          <m:rPr>
            <m:sty m:val="p"/>
          </m:rPr>
          <m:t>,</m:t>
        </m:r>
        <m:r>
          <m:t>6</m:t>
        </m:r>
        <m:r>
          <m:rPr>
            <m:sty m:val="p"/>
          </m:rPr>
          <m:t>%</m:t>
        </m:r>
        <m:r>
          <m:rPr>
            <m:sty m:val="p"/>
          </m:rPr>
          <m:t>→</m:t>
        </m:r>
        <m:r>
          <m:t>43</m:t>
        </m:r>
        <m:r>
          <m:rPr>
            <m:sty m:val="p"/>
          </m:rPr>
          <m:t>,</m:t>
        </m:r>
        <m:r>
          <m:t>5</m:t>
        </m:r>
        <m:r>
          <m:rPr>
            <m:sty m:val="p"/>
          </m:rPr>
          <m:t>%</m:t>
        </m:r>
      </m:oMath>
      <w:r>
        <w:t xml:space="preserve">) với tỷ số Mills không có ý nghĩa (</w:t>
      </w:r>
      <m:oMath>
        <m:r>
          <m:t>p</m:t>
        </m:r>
        <m:r>
          <m:rPr>
            <m:sty m:val="p"/>
          </m:rPr>
          <m:t>=</m:t>
        </m:r>
        <m:r>
          <m:rPr>
            <m:sty m:val="p"/>
          </m:rPr>
          <m:t>,</m:t>
        </m:r>
        <m:r>
          <m:t>317</m:t>
        </m:r>
      </m:oMath>
      <w:r>
        <w:t xml:space="preserve">), cho thấy không có thiên lệch tự chọn lọc kiểu Melitz trong độ cong. Chi tiết phương pháp và số liệu ở</w:t>
      </w:r>
      <w:r>
        <w:t xml:space="preserve"> </w:t>
      </w:r>
      <w:r>
        <w:rPr>
          <w:rStyle w:val="VerbatimChar"/>
        </w:rPr>
        <w:t xml:space="preserve">data_wbes/analysis/p7_robustness_suite_2026-06.md</w:t>
      </w:r>
      <w:r>
        <w:t xml:space="preserve">.</w:t>
      </w:r>
    </w:p>
    <w:bookmarkEnd w:id="79"/>
    <w:bookmarkStart w:id="83" w:name="Xa7a3e024942ac139f282b38617464477c22cff4"/>
    <w:p>
      <w:pPr>
        <w:pStyle w:val="Heading4"/>
      </w:pPr>
      <w:r>
        <w:t xml:space="preserve">2.3.8 Thảo luận: đóng góp lý thuyết và thực tiễn</w:t>
      </w:r>
    </w:p>
    <w:bookmarkStart w:id="80" w:name="đóng-góp-lý-thuyết"/>
    <w:p>
      <w:pPr>
        <w:pStyle w:val="Heading5"/>
      </w:pPr>
      <w:r>
        <w:t xml:space="preserve">Đóng góp lý thuyết</w:t>
      </w:r>
    </w:p>
    <w:p>
      <w:pPr>
        <w:pStyle w:val="FirstParagraph"/>
      </w:pPr>
      <w:r>
        <w:t xml:space="preserve">Đóng góp 1: Khung tích hợp 4 tầng + Khung chấp nhận số nền tảng cho châu Á. Không có khung tương đương trong tài liệu IB cho khu vực 50 nền kinh tế (gồm Nhật Bản) bao gồm cả quốc đảo nhỏ Thái Bình Dương. Khung tích hợp Uppsala + lý thuyết dựa trên nguồn lực + lý thuyết thể chế + lý thuyết thượng tầng quản trị + Khung chấp nhận số nền tảng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tài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quốc tế hóa và hiệu quả khác nhau do nguồn lực dẫn dắt khác nhau.</w:t>
      </w:r>
    </w:p>
    <w:p>
      <w:pPr>
        <w:pStyle w:val="BodyText"/>
      </w:pPr>
      <w:r>
        <w:t xml:space="preserve">Đóng góp 4: Giả thuyết gánh nặng bắt buộc trong khung quốc tế hóa và hiệu quả. Dạng hàm forced penalty (SIDS Nhóm VI) được tích hợp vào H5 như trường hợp cực đoan của phổ thể chế, SIDS không có chữ U ngược điển hình do quốc tế hóa bắt buộc (Briguglio, 1995); nghiên cứu chuyên sâu SIDS (P8) ước lượng điểm FIP β = −1,339 (SE 0,386; p &lt; 0,001), quan hệ âm đơn điệu không có điểm uốn. Tích hợp này mở rộng tài liệu quốc tế hóa và hiệu quả từ châu Á lục địa sang các quốc đảo nhỏ Thái Bình Dương.</w:t>
      </w:r>
    </w:p>
    <w:bookmarkEnd w:id="80"/>
    <w:bookmarkStart w:id="81"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tài liệu châu Á kiểm định đồng thời I×TCI×DAI điều tiết ba chiều kết hợp với tính không đồng nhất thời gian, cho phép kiểm tra xem TCI và DAI là bổ sung hay thay thế trong điều tiết quốc tế hóa và hiệu quả.</w:t>
      </w:r>
    </w:p>
    <w:p>
      <w:pPr>
        <w:pStyle w:val="BodyText"/>
      </w:pPr>
      <w:r>
        <w:t xml:space="preserve">Đóng góp 6: Mẫu gộp 88.869 doanh nghiệp (50 nền, gồm Nhật Bản), rộng nhất cho nghiên cứu quốc tế hóa và hiệu quả châu Á. Ba thế hệ lược đồ WBES được hòa hợp qua giao thức chi tiết. Mẫu gộp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hiệu ứng cố định hai chiều,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tài liệu quốc tế hóa và hiệu quả cho châu Á. Bằng chứng từ P3 Việt Nam và P5 Trung Quốc neo đậu kỳ vọng thực nghiệm.</w:t>
      </w:r>
    </w:p>
    <w:bookmarkEnd w:id="81"/>
    <w:bookmarkStart w:id="82" w:name="hàm-ý-chính-sách"/>
    <w:p>
      <w:pPr>
        <w:pStyle w:val="Heading5"/>
      </w:pPr>
      <w:r>
        <w:t xml:space="preserve">Hàm ý chính sách</w:t>
      </w:r>
    </w:p>
    <w:p>
      <w:pPr>
        <w:pStyle w:val="FirstParagraph"/>
      </w:pPr>
      <w:r>
        <w:t xml:space="preserve">Cho doanh nghiệp Việt Nam và châu Á mới nổi:</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Phổ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bắt buộc, các quốc đảo nhỏ Thái Bình Dương cần khung chính sách khác hoàn toàn, không áp dụng logic chữ U ngược chuẩn.</w:t>
      </w:r>
    </w:p>
    <w:p>
      <w:r>
        <w:pict>
          <v:rect style="width:0;height:1.5pt" o:hralign="center" o:hrstd="t" o:hr="t"/>
        </w:pict>
      </w:r>
    </w:p>
    <w:bookmarkEnd w:id="82"/>
    <w:bookmarkEnd w:id="83"/>
    <w:bookmarkEnd w:id="84"/>
    <w:bookmarkStart w:id="88" w:name="kết-luận-và-đề-xuất"/>
    <w:p>
      <w:pPr>
        <w:pStyle w:val="Heading3"/>
      </w:pPr>
      <w:r>
        <w:t xml:space="preserve">2.4 Kết luận và đề xuất</w:t>
      </w:r>
    </w:p>
    <w:bookmarkStart w:id="85"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lý thuyết dựa trên nguồn lực, lý thuyết thể chế, lý thuyết thượng tầng quản trị, Khung chấp nhận số nền tảng, vào tám mô hình thực nghiệm M0–M7 có thể kiểm định trên mẫu gộp 88.869 doanh nghiệp WBES xuyên 50 nền kinh tế (gồm Nhật Bản) và 104 cặp quốc gia-năm. Hệ giả thuyết H1–H6 được phát triển có neo đậu thực nghiệm từ ba bản thảo đồng hành (P3 Việt Nam, P4 Singapore, P5 Trung Quốc), xác nhận tính khả nghiệm của khung đề xuất trước khi áp dụng cho toàn mẫu gộp.</w:t>
      </w:r>
    </w:p>
    <w:p>
      <w:pPr>
        <w:pStyle w:val="BodyText"/>
      </w:pPr>
      <w:r>
        <w:t xml:space="preserve">Kết quả dự kiến từ bằng chứng neo đậu: H1 (phi tuyến) xác nhận chữ U ngược ở hầu hết nhóm ICRV với phổ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phổ thể chế) điểm uốn phổ thể chế từ Nhóm I đến VI, Nhóm VI gánh nặng bắt buộc; H6 (Thời gian) DAI dịch chuyển 2009 xuống 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5"/>
    <w:bookmarkStart w:id="86"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dữ liệu bảng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Tầng 1–2 (website và e-payment) do hạn chế lược đồ WBES. Không thể kết luận về vai trò của năng lực số Tầng 3–4, tích hợp ERP, triển khai AI, quản trị dữ liệu xuyên biên giới, đối với mối quan hệ quốc tế hóa và hiệu quả. Kết luận H3 chỉ hợp lệ trong ranh giới đo lường Tầng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lý thuyết thượng tầng quản trị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Tầng 3–4 từ báo cáo thường niên doanh nghiệp niêm yết. Khi lược đồ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quốc tế hóa và hiệu quả: Angrist &amp; Pischke (2009); Oster (2019) về δ-stability bounds; Wolfolds &amp; Siegel (2019) về điều kiện hợp lệ của Heckman. Về tổng hợp bằng chứng xuyên bối cảnh: Sutton &amp; Higgins (2008), dữ liệu bảng cho phân tích tổng hợp; Borenstein et al. (2021), Bayesian hồi quy phân tích tổng hợp với thông tin tiền nghiệm. Về mở rộng bậc số hóa: Verhoef et al. (2021), phân cấp Tầng 1–4. Về mở rộng quốc tế hóa đa chiều: Contractor et al. (2003); Sullivan (1994) về DOI chỉ số hợp thành.</w:t>
      </w:r>
    </w:p>
    <w:p>
      <w:r>
        <w:pict>
          <v:rect style="width:0;height:1.5pt" o:hralign="center" o:hrstd="t" o:hr="t"/>
        </w:pict>
      </w:r>
    </w:p>
    <w:bookmarkEnd w:id="86"/>
    <w:bookmarkStart w:id="87"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đang phản biện):</w:t>
      </w:r>
      <w:r>
        <w:t xml:space="preserve"> </w:t>
      </w:r>
      <w:r>
        <w:t xml:space="preserve">Bản thảo P6 đã hoàn thành, mở rộng ICBEF 2025 cơ sở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5 nhóm; (iii) DPL giai đoạn. Kết quả MARA xác nhận: gộp</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lệch lạc công bố xác nhận qua Begg–Mazumdar τ=−0,132 (p=.001), cắt và điền k=57 imputed,</w:t>
      </w:r>
      <w:r>
        <w:t xml:space="preserve"> </w:t>
      </w:r>
      <w:r>
        <w:rPr>
          <w:iCs/>
          <w:i/>
        </w:rPr>
        <w:t xml:space="preserve">r</w:t>
      </w:r>
      <w:r>
        <w:t xml:space="preserve">_adj=0,035, gộp effect thực tế thấp hơn khoảng 50% so với ước lượng thô. Đóng góp của P6 trong khuôn khổ CD2: xác nhận phổ thể chế ICRV tổng thể (Q_M có ý nghĩa) nhưng không đủ k ở mỗi nhóm để xác nhận đường phổ thể chế đơn điệu E1a/E1b.</w:t>
      </w:r>
    </w:p>
    <w:p>
      <w:pPr>
        <w:pStyle w:val="BodyText"/>
      </w:pPr>
      <w:r>
        <w:rPr>
          <w:bCs/>
          <w:b/>
        </w:rPr>
        <w:t xml:space="preserve">Hướng 2, P7: Kiểm định H1–H6 toàn mẫu gộp 50 nền kinh tế (mục tiêu JIBS):</w:t>
      </w:r>
      <w:r>
        <w:t xml:space="preserve"> </w:t>
      </w:r>
      <w:r>
        <w:t xml:space="preserve">P7 đã ước lượng trên N=81.022 doanh nghiệp, 50 nền kinh tế châu Á và Thái Bình Dương, 103 cặp nền kinh tế và năm, 6 nhóm ICRV. Kết quả xác nhận: H1 (phi tuyến) điểm uốn M5 = 43,6% (Lind–Mehlum p&lt;,001); H2 TCI hiệu ứng mức +0,141 (p&lt;,001); H3 DAI hiệu ứng mức +0,201 (p&lt;,001), tương tác độ cong cùng chiều nhưng không ý nghĩa; H5 ba vùng thể chế, chữ U ngược</w:t>
      </w:r>
      <w:r>
        <w:t xml:space="preserve"> </w:t>
      </w:r>
      <w:r>
        <w:rPr>
          <w:bCs/>
          <w:b/>
        </w:rPr>
        <w:t xml:space="preserve">rõ</w:t>
      </w:r>
      <w:r>
        <w:t xml:space="preserve"> </w:t>
      </w:r>
      <w:r>
        <w:t xml:space="preserve">từ SIDS/Frontier (~55%) xuống tiên tiến đổi mới (~28%); DAI×ICRV p=.012 (digital shield strongest khi thể chế yếu). P3 (Nhóm IV), P4 (Nhóm I), P5 (Nhóm III) cung cấp neo đậu cross-context đã được xác nhận bởi gộp 50-economy results (gồm Nhật Bản).</w:t>
      </w:r>
    </w:p>
    <w:p>
      <w:pPr>
        <w:pStyle w:val="BodyText"/>
      </w:pPr>
      <w:r>
        <w:rPr>
          <w:bCs/>
          <w:b/>
        </w:rPr>
        <w:t xml:space="preserve">Hướng 3, P8: SIDS Thái Bình Dương, gánh nặng bắt buộc (World Development, đang phản biện vòng hai):</w:t>
      </w:r>
      <w:r>
        <w:t xml:space="preserve"> </w:t>
      </w:r>
      <w:r>
        <w:t xml:space="preserve">P8 đã hoàn thành,</w:t>
      </w:r>
      <w:r>
        <w:t xml:space="preserve"> </w:t>
      </w:r>
      <w:r>
        <w:rPr>
          <w:bCs/>
          <w:b/>
        </w:rPr>
        <w:t xml:space="preserve">mẫu chính 7 nền Pacific SIDS (N=209 complete-case; mẫu gộp 1.371), β(FSTS_c)=−1,339</w:t>
      </w:r>
      <w:r>
        <w:t xml:space="preserve"> </w:t>
      </w:r>
      <w:r>
        <w:t xml:space="preserve">(p&lt;.001); kiểm định độ vững mở rộng 9 nền (thêm Comoros + Timor-Leste, N≈1.469, β≈−0,4), minh họa cho gánh nặng quốc tế hóa cưỡng bức như trường hợp giới hạn lý thuyết (trên mẫu đầy đủ 7 nền, dạng chữ U ngược mất cấu trúc; hệ số âm mạnh chỉ ở bản dựng hạn chế ba cụm), nhất quán với giả thuyết gánh nặng bắt buộc (Briguglio, 1995; Bertram, 2006). Khoảng trống về điều kiện biên FIP (Nhóm VI SIDS) trong CĐ2 đã được lấp đầy bởi P8.</w:t>
      </w:r>
    </w:p>
    <w:p>
      <w:pPr>
        <w:pStyle w:val="BodyText"/>
      </w:pPr>
      <w:r>
        <w:rPr>
          <w:bCs/>
          <w:b/>
        </w:rPr>
        <w:t xml:space="preserve">Hướng 4, CDCM Tier 3–4 extension (MIS Quarterly hoặc Information Systems Research):</w:t>
      </w:r>
      <w:r>
        <w:t xml:space="preserve"> </w:t>
      </w:r>
      <w:r>
        <w:t xml:space="preserve">Khi lược đồ B-READY (World Bank, 2023–2027) và WBES mới bổ sung thêm mô-đun AI, ERP, và quản trị dữ liệu, CDCM có thể được kiểm định đầy đủ bốn tầng Verhoef et al. (2021). Câu hỏi lý thuyết: liệu DAI Tầng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Dữ liệu bảng dọc (panel longitudinal) WBES core 2023–2027 (JIBS hoặc SMJ):</w:t>
      </w:r>
      <w:r>
        <w:t xml:space="preserve"> </w:t>
      </w:r>
      <w:r>
        <w:t xml:space="preserve">tập dữ liệu bảng lõi (WBES core panel) theo dõi một nhóm doanh nghiệp trong ít nhất hai sóng liên tiếp, cho phép kiểm định nhân quả TCI sang năng suất và DAI sang 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7"/>
    <w:bookmarkEnd w:id="88"/>
    <w:bookmarkEnd w:id="89"/>
    <w:bookmarkStart w:id="90"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Cronbach, L. J. (1951). Coefficient alpha and the internal structure of tests.</w:t>
      </w:r>
      <w:r>
        <w:t xml:space="preserve"> </w:t>
      </w:r>
      <w:r>
        <w:rPr>
          <w:iCs/>
          <w:i/>
        </w:rPr>
        <w:t xml:space="preserve">Psychometrika, 16</w:t>
      </w:r>
      <w:r>
        <w:t xml:space="preserve">(3), 297–334. https://doi.org/10.1007/BF02310555</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Đỗ, T. H., &amp; Phan, A. T. (2026a).</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[Bản thảo đang phản biện].</w:t>
      </w:r>
      <w:r>
        <w:t xml:space="preserve"> </w:t>
      </w:r>
      <w:r>
        <w:rPr>
          <w:iCs/>
          <w:i/>
        </w:rPr>
        <w:t xml:space="preserve">Journal of Asia Business Studies</w:t>
      </w:r>
      <w:r>
        <w:t xml:space="preserve">. [P3, Việt Nam]</w:t>
      </w:r>
    </w:p>
    <w:p>
      <w:pPr>
        <w:pStyle w:val="BodyText"/>
      </w:pPr>
      <w:r>
        <w:t xml:space="preserve">Đỗ, T. H., &amp; Phan, A. T. (2026b).</w:t>
      </w:r>
      <w:r>
        <w:t xml:space="preserve"> </w:t>
      </w:r>
      <w:r>
        <w:rPr>
          <w:iCs/>
          <w:i/>
        </w:rPr>
        <w:t xml:space="preserve">Technological capability, digital adoption, and internationalization performance in China: Evidence from two WBES waves</w:t>
      </w:r>
      <w:r>
        <w:t xml:space="preserve"> </w:t>
      </w:r>
      <w:r>
        <w:t xml:space="preserve">[Bản thảo đang phản biện].</w:t>
      </w:r>
      <w:r>
        <w:t xml:space="preserve"> </w:t>
      </w:r>
      <w:r>
        <w:rPr>
          <w:iCs/>
          <w:i/>
        </w:rPr>
        <w:t xml:space="preserve">International Journal of Emerging Markets</w:t>
      </w:r>
      <w:r>
        <w:t xml:space="preserve">. [P5, Trung Quốc]</w:t>
      </w:r>
    </w:p>
    <w:p>
      <w:pPr>
        <w:pStyle w:val="BodyText"/>
      </w:pPr>
      <w:r>
        <w:t xml:space="preserve">Đỗ, T. H., &amp; Phan, A. T. (2026c).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Dubin, R. (1978).</w:t>
      </w:r>
      <w:r>
        <w:t xml:space="preserve"> </w:t>
      </w:r>
      <w:r>
        <w:rPr>
          <w:iCs/>
          <w:i/>
        </w:rPr>
        <w:t xml:space="preserve">Theory building</w:t>
      </w:r>
      <w:r>
        <w:t xml:space="preserve"> </w:t>
      </w:r>
      <w:r>
        <w:t xml:space="preserve">(Rev. ed.). Free Press.</w:t>
      </w:r>
    </w:p>
    <w:p>
      <w:pPr>
        <w:pStyle w:val="BodyText"/>
      </w:pPr>
      <w:r>
        <w:t xml:space="preserve">Dunning, J. H. (1988). The eclectic paradigm of international production: A restatement and some possible extensions.</w:t>
      </w:r>
      <w:r>
        <w:t xml:space="preserve"> </w:t>
      </w:r>
      <w:r>
        <w:rPr>
          <w:iCs/>
          <w:i/>
        </w:rPr>
        <w:t xml:space="preserve">Journal of International Business Studies, 19</w:t>
      </w:r>
      <w:r>
        <w:t xml:space="preserve">(1), 1–31. https://doi.org/10.1057/palgrave.jibs.8490372</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T. T.,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[Bản thảo đang phản biện].</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Mathews, J. A. (2002).</w:t>
      </w:r>
      <w:r>
        <w:t xml:space="preserve"> </w:t>
      </w:r>
      <w:r>
        <w:rPr>
          <w:iCs/>
          <w:i/>
        </w:rPr>
        <w:t xml:space="preserve">Dragon multinationals: Towards a new model of global growth</w:t>
      </w:r>
      <w:r>
        <w:t xml:space="preserve">. Oxford University Press.</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Whetten, D. A. (1989). What constitutes a theoretical contribution?</w:t>
      </w:r>
      <w:r>
        <w:t xml:space="preserve"> </w:t>
      </w:r>
      <w:r>
        <w:rPr>
          <w:iCs/>
          <w:i/>
        </w:rPr>
        <w:t xml:space="preserve">Academy of Management Review, 14</w:t>
      </w:r>
      <w:r>
        <w:t xml:space="preserve">(4), 490–495. https://doi.org/10.5465/amr.1989.4308371</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[sắp xuất bản].</w:t>
      </w:r>
    </w:p>
    <w:p>
      <w:r>
        <w:pict>
          <v:rect style="width:0;height:1.5pt" o:hralign="center" o:hrstd="t" o:hr="t"/>
        </w:pict>
      </w:r>
    </w:p>
    <w:bookmarkEnd w:id="90"/>
    <w:bookmarkStart w:id="95" w:name="phụ-lục"/>
    <w:p>
      <w:pPr>
        <w:pStyle w:val="Heading2"/>
      </w:pPr>
      <w:r>
        <w:t xml:space="preserve">PHỤ LỤC</w:t>
      </w:r>
    </w:p>
    <w:bookmarkStart w:id="91" w:name="X99c2132ff359a6f3a08cce74cdac275000718c2"/>
    <w:p>
      <w:pPr>
        <w:pStyle w:val="Heading3"/>
      </w:pPr>
      <w:r>
        <w:t xml:space="preserve">Phụ lục A: Danh sách 50 nền kinh tế theo nhóm ICRV</w:t>
      </w:r>
    </w:p>
    <w:p>
      <w:pPr>
        <w:pStyle w:val="FirstParagraph"/>
      </w:pPr>
      <w:r>
        <w:t xml:space="preserve">ICRV Nhóm I, Tiên tiến đổi mới sáng tạo dẫn dắt (6 nền kinh tế):</w:t>
      </w:r>
      <w:r>
        <w:t xml:space="preserve"> </w:t>
      </w:r>
      <w:r>
        <w:t xml:space="preserve">Singapore, Hong Kong SAR, Hàn Quốc, Đài Loan, Israel, Nhật Bản (đợt khảo sát WBES đầu tiên năm 2025).</w:t>
      </w:r>
    </w:p>
    <w:p>
      <w:pPr>
        <w:pStyle w:val="BodyText"/>
      </w:pPr>
      <w:r>
        <w:t xml:space="preserve">ICRV Nhóm II, Tiên tiến tài nguyên dẫn dắt (6 nền kinh tế):</w:t>
      </w:r>
      <w:r>
        <w:t xml:space="preserve"> </w:t>
      </w:r>
      <w:r>
        <w:t xml:space="preserve">Saudi Arabia, Qatar, Kuwait, Bahrain, Brunei, Oman.</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Chuyển đổi thu nhập trung bình–thấp (7 nền kinh tế):</w:t>
      </w:r>
      <w:r>
        <w:t xml:space="preserve"> </w:t>
      </w:r>
      <w:r>
        <w:t xml:space="preserve">Việt Nam, Ấn Độ, Indonesia, Philippines, Mông Cổ, Bangladesh, Pakistan.</w:t>
      </w:r>
    </w:p>
    <w:p>
      <w:pPr>
        <w:pStyle w:val="BodyText"/>
      </w:pPr>
      <w:r>
        <w:t xml:space="preserve">ICRV Nhóm V, Đang nổi (17 nền kinh tế):</w:t>
      </w:r>
      <w:r>
        <w:t xml:space="preserve"> </w:t>
      </w:r>
      <w:r>
        <w:t xml:space="preserve">Sri Lanka, Jordan, Lào, Campuchia, Myanmar, Nepal, Bhutan, Maldives, Uzbekistan, Tajikistan, Kyrgyzstan, Turkmenistan, Afghanistan, Azerbaijan, Iraq, Lebanon, Yemen.</w:t>
      </w:r>
    </w:p>
    <w:p>
      <w:pPr>
        <w:pStyle w:val="BodyText"/>
      </w:pPr>
      <w:r>
        <w:t xml:space="preserve">ICRV Nhóm VI, SIDS, trường hợp biên (8 nền kinh tế):</w:t>
      </w:r>
      <w:r>
        <w:t xml:space="preserve"> </w:t>
      </w:r>
      <w:r>
        <w:t xml:space="preserve">Fiji, Kiribati, Papua New Guinea, Samoa, Solomon Islands, Tonga, Vanuatu, Timor-Leste.</w:t>
      </w:r>
      <w:r>
        <w:t xml:space="preserve"> </w:t>
      </w:r>
      <w:r>
        <w:rPr>
          <w:iCs/>
          <w:i/>
        </w:rPr>
        <w:t xml:space="preserve">(Ghi chú: mẫu chính của nghiên cứu chuyên sâu SIDS là 7 nền Thái Bình Dương; kiểm định độ vững mở rộng 9 nền, bổ sung Comoros.)</w:t>
      </w:r>
    </w:p>
    <w:p>
      <w:pPr>
        <w:pStyle w:val="BodyText"/>
      </w:pPr>
      <w:r>
        <w:t xml:space="preserve">Tổng: 6 + 6 + 6 + 7 + 17 + 8 = 50 nền kinh tế.</w:t>
      </w:r>
    </w:p>
    <w:bookmarkEnd w:id="91"/>
    <w:bookmarkStart w:id="92" w:name="phụ-lục-b-tóm-tắt-ba-bản-thảo-đồng-hành"/>
    <w:p>
      <w:pPr>
        <w:pStyle w:val="Heading3"/>
      </w:pPr>
      <w:r>
        <w:t xml:space="preserve">Phụ lục B: Tóm tắt ba bản thảo đồng hành</w:t>
      </w:r>
    </w:p>
    <w:p>
      <w:pPr>
        <w:pStyle w:val="FirstParagraph"/>
      </w:pPr>
      <w:r>
        <w:t xml:space="preserve">P3, Việt Nam (JABS, đang phản biện): Đỗ, T. H., &amp; Phan, A. T. (2026a).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đang phản biện): Mar, T. T.,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đang phản biện): Đỗ, T. H., &amp; Phan, A. T. (2026b). Phân tích 4.544 doanh nghiệp WBES hai sóng 2012/2024. Kết quả chính: chữ U ngược bền vững cấu trúc, điểm uốn 49,4% (2012), 47,2% (2024), Paternoster FSTS² p = 0,545 (không có sự khác biệt đáng kể); TCI tăng cường theo thời gian (+0,260 sang +0,426, Paternoster p = 0,011).</w:t>
      </w:r>
    </w:p>
    <w:bookmarkEnd w:id="92"/>
    <w:bookmarkStart w:id="93"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3"/>
    <w:bookmarkStart w:id="94"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Mẫu gộp 50 nền kinh tế × 5 ngành chính ≈ 250 cụm,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4"/>
    <w:bookmarkEnd w:id="9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2026-06-23T09:36:27Z</dcterms:created>
  <dcterms:modified xsi:type="dcterms:W3CDTF">2026-06-23T09:36:27Z</dcterms:modified>
</cp:coreProperties>
</file>

<file path=docProps/custom.xml><?xml version="1.0" encoding="utf-8"?>
<Properties xmlns="http://schemas.openxmlformats.org/officeDocument/2006/custom-properties" xmlns:vt="http://schemas.openxmlformats.org/officeDocument/2006/docPropsVTypes"/>
</file>