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10 May 2026</w:t>
      </w:r>
    </w:p>
    <w:p>
      <w:pPr>
        <w:pStyle w:val="BodyText"/>
      </w:pPr>
      <w:r>
        <w:t xml:space="preserve">The Editor-in-Chief</w:t>
      </w:r>
      <w:r>
        <w:t xml:space="preserve"> </w:t>
      </w:r>
      <w:r>
        <w:rPr>
          <w:iCs/>
          <w:i/>
        </w:rPr>
        <w:t xml:space="preserve">Asia Pacific Journal of Management</w:t>
      </w:r>
      <w:r>
        <w:t xml:space="preserve"> </w:t>
      </w:r>
      <w:r>
        <w:t xml:space="preserve">Springer</w:t>
      </w:r>
    </w:p>
    <w:p>
      <w:r>
        <w:pict>
          <v:rect style="width:0;height:1.5pt" o:hralign="center" o:hrstd="t" o:hr="t"/>
        </w:pict>
      </w:r>
    </w:p>
    <w:p>
      <w:pPr>
        <w:pStyle w:val="FirstParagraph"/>
      </w:pPr>
      <w:r>
        <w:rPr>
          <w:bCs/>
          <w:b/>
        </w:rPr>
        <w:t xml:space="preserve">Submission of Manuscript:</w:t>
      </w:r>
      <w:r>
        <w:rPr>
          <w:bCs/>
          <w:b/>
        </w:rPr>
        <w:t xml:space="preserve"> </w:t>
      </w:r>
      <w:r>
        <w:rPr>
          <w:bCs/>
          <w:b/>
        </w:rPr>
        <w:t xml:space="preserve">“</w:t>
      </w:r>
      <w:r>
        <w:rPr>
          <w:bCs/>
          <w:b/>
        </w:rPr>
        <w:t xml:space="preserve">Revisiting the Internationalisation–Performance Relationship in an Emerging Market: The Roles of Technological Capability and Foundational Digital Adoption</w:t>
      </w:r>
      <w:r>
        <w:rPr>
          <w:bCs/>
          <w:b/>
        </w:rPr>
        <w:t xml:space="preserve">”</w:t>
      </w:r>
    </w:p>
    <w:p>
      <w:pPr>
        <w:pStyle w:val="BodyText"/>
      </w:pPr>
      <w:r>
        <w:t xml:space="preserve">Dear Editor-in-Chief,</w:t>
      </w:r>
    </w:p>
    <w:p>
      <w:pPr>
        <w:pStyle w:val="BodyText"/>
      </w:pPr>
      <w:r>
        <w:t xml:space="preserve">We are pleased to submit the above manuscript for consideration for publication in the</w:t>
      </w:r>
      <w:r>
        <w:t xml:space="preserve"> </w:t>
      </w:r>
      <w:r>
        <w:rPr>
          <w:iCs/>
          <w:i/>
        </w:rPr>
        <w:t xml:space="preserve">Asia Pacific Journal of Management</w:t>
      </w:r>
      <w:r>
        <w:t xml:space="preserve"> </w:t>
      </w:r>
      <w:r>
        <w:t xml:space="preserve">(APJM). The manuscript presents an empirical study of the internationalisation–performance (I–P) relationship across three waves of World Bank Enterprise Survey data for Vietnam (2009, 2015, 2023; N = 2,958).</w:t>
      </w:r>
    </w:p>
    <w:p>
      <w:pPr>
        <w:pStyle w:val="BodyText"/>
      </w:pPr>
      <w:r>
        <w:rPr>
          <w:bCs/>
          <w:b/>
        </w:rPr>
        <w:t xml:space="preserve">Relevance to APJM</w:t>
      </w:r>
    </w:p>
    <w:p>
      <w:pPr>
        <w:pStyle w:val="BodyText"/>
      </w:pPr>
      <w:r>
        <w:t xml:space="preserve">The study contributes directly to APJM’s core agenda of advancing knowledge on strategy and international business in Asia Pacific contexts. Vietnam is an analytically valuable setting because it combines rapid export-led growth with ongoing institutional and digital transition — conditions that allow us to disentangle two constructs that much prior literature conflates: technological capability (quality certification, foreign-licensed technology) and foundational digital adoption (website presence). By tracking both constructs across three survey waves spanning 14 years, the study speaks to APJM’s sustained interest in how institutional environments and firm-level capabilities shape the performance consequences of internationalisation.</w:t>
      </w:r>
    </w:p>
    <w:p>
      <w:pPr>
        <w:pStyle w:val="BodyText"/>
      </w:pPr>
      <w:r>
        <w:rPr>
          <w:bCs/>
          <w:b/>
        </w:rPr>
        <w:t xml:space="preserve">Key Contributions</w:t>
      </w:r>
    </w:p>
    <w:p>
      <w:pPr>
        <w:pStyle w:val="BodyText"/>
      </w:pPr>
      <w:r>
        <w:t xml:space="preserve">First, the inverted-U between export intensity and labour productivity is confirmed in all three waves and the pooled sample (Lind–Mehlum test p ≤ .013 in each wave; p &lt; .001 pooled), with turning points clustered at 39–46% of direct export intensity. This provides within-country, multi-wave evidence for the curvilinear I–P relationship in a lower-income emerging economy, extending prior single-wave Vietnam studies and situating the finding relative to cross-country thresholds from China (47–49%) and Singapore (~88%).</w:t>
      </w:r>
    </w:p>
    <w:p>
      <w:pPr>
        <w:pStyle w:val="BodyText"/>
      </w:pPr>
      <w:r>
        <w:t xml:space="preserve">Second, the study is, to our knowledge, the first systematic separation of technological capability from foundational digital adoption as non-overlapping primary measures in a WBES-based I–P study. Technological capability is robustly positive across all three waves (β ranging 0.123–0.215) and moderates the curvature in three of four panels. Digital adoption shows substantial temporal heterogeneity (β = 0.175 in 2009, null in 2015, β = 0.095 in 2023), and instrumental-variable estimation yields a null digital-adoption coefficient — a finding that challenges pooled estimates common in prior work and attributes the positive cross-sectional association to selection rather than causal productive capacity.</w:t>
      </w:r>
    </w:p>
    <w:p>
      <w:pPr>
        <w:pStyle w:val="BodyText"/>
      </w:pPr>
      <w:r>
        <w:t xml:space="preserve">Third, Paternoster cross-wave z-tests reveal that both constructs’ productivity associations are statistically distinguishable across survey waves (digital adoption: z = 3.353, p &lt; .001 between 2009 and 2015; z = −2.051, p = .040 between 2015 and 2023), demonstrating that temporal heterogeneity in digital-capability returns is large enough to be consequential for policy design.</w:t>
      </w:r>
    </w:p>
    <w:p>
      <w:pPr>
        <w:pStyle w:val="BodyText"/>
      </w:pPr>
      <w:r>
        <w:rPr>
          <w:bCs/>
          <w:b/>
        </w:rPr>
        <w:t xml:space="preserve">Originality and Conflicts of Interest</w:t>
      </w:r>
    </w:p>
    <w:p>
      <w:pPr>
        <w:pStyle w:val="BodyText"/>
      </w:pPr>
      <w:r>
        <w:t xml:space="preserve">This manuscript is original, has not been published previously, and is not under consideration for publication elsewhere. All authors have approved the manuscript and agree to its submission. The authors declare no conflict of interest. This research received no specific grant from any funding agency in the public, commercial, or not-for-profit sectors.</w:t>
      </w:r>
    </w:p>
    <w:p>
      <w:pPr>
        <w:pStyle w:val="BodyText"/>
      </w:pPr>
      <w:r>
        <w:rPr>
          <w:bCs/>
          <w:b/>
        </w:rPr>
        <w:t xml:space="preserve">Manuscript Classification</w:t>
      </w:r>
    </w:p>
    <w:p>
      <w:pPr>
        <w:numPr>
          <w:ilvl w:val="0"/>
          <w:numId w:val="1001"/>
        </w:numPr>
        <w:pStyle w:val="Compact"/>
      </w:pPr>
      <w:r>
        <w:t xml:space="preserve">Paper type: Research article</w:t>
      </w:r>
    </w:p>
    <w:p>
      <w:pPr>
        <w:numPr>
          <w:ilvl w:val="0"/>
          <w:numId w:val="1001"/>
        </w:numPr>
        <w:pStyle w:val="Compact"/>
      </w:pPr>
      <w:r>
        <w:t xml:space="preserve">Word count (main text, excluding abstract, references, tables, and figures): approximately 6,800 words</w:t>
      </w:r>
    </w:p>
    <w:p>
      <w:pPr>
        <w:numPr>
          <w:ilvl w:val="0"/>
          <w:numId w:val="1001"/>
        </w:numPr>
        <w:pStyle w:val="Compact"/>
      </w:pPr>
      <w:r>
        <w:t xml:space="preserve">Tables: 4; Figures: 6</w:t>
      </w:r>
    </w:p>
    <w:p>
      <w:pPr>
        <w:numPr>
          <w:ilvl w:val="0"/>
          <w:numId w:val="1001"/>
        </w:numPr>
        <w:pStyle w:val="Compact"/>
      </w:pPr>
      <w:r>
        <w:t xml:space="preserve">Keywords: internationalisation–performance; emerging markets; digital adoption; technological capability; Vietnam; firm productivity</w:t>
      </w:r>
    </w:p>
    <w:p>
      <w:pPr>
        <w:numPr>
          <w:ilvl w:val="0"/>
          <w:numId w:val="1001"/>
        </w:numPr>
        <w:pStyle w:val="Compact"/>
      </w:pPr>
      <w:r>
        <w:t xml:space="preserve">JEL classification: F23, O33, D22, L25, O53</w:t>
      </w:r>
    </w:p>
    <w:p>
      <w:pPr>
        <w:pStyle w:val="FirstParagraph"/>
      </w:pPr>
      <w:r>
        <w:t xml:space="preserve">We hope the manuscript will be of interest to APJM’s readership and look forward to the review process.</w:t>
      </w:r>
    </w:p>
    <w:p>
      <w:pPr>
        <w:pStyle w:val="BodyText"/>
      </w:pPr>
      <w:r>
        <w:t xml:space="preserve">Yours sincerely,</w:t>
      </w:r>
    </w:p>
    <w:p>
      <w:pPr>
        <w:pStyle w:val="BodyText"/>
      </w:pPr>
      <w:r>
        <w:rPr>
          <w:bCs/>
          <w:b/>
        </w:rPr>
        <w:t xml:space="preserve">Đỗ Thùy Hương (Do Thuy Huong)</w:t>
      </w:r>
      <w:r>
        <w:t xml:space="preserve"> </w:t>
      </w:r>
      <w:r>
        <w:t xml:space="preserve">PhD Candidate</w:t>
      </w:r>
      <w:r>
        <w:t xml:space="preserve"> </w:t>
      </w:r>
      <w:r>
        <w:t xml:space="preserve">Vĩnh Long University of Technology Education (VLUTE), Vietnam</w:t>
      </w:r>
      <w:r>
        <w:t xml:space="preserve"> </w:t>
      </w:r>
      <w:r>
        <w:t xml:space="preserve">Email: huongdt@vlute.edu.vn | ORCID: 0000-0002-7711-2487</w:t>
      </w:r>
    </w:p>
    <w:p>
      <w:pPr>
        <w:pStyle w:val="BodyText"/>
      </w:pPr>
      <w:r>
        <w:rPr>
          <w:bCs/>
          <w:b/>
        </w:rPr>
        <w:t xml:space="preserve">PGS.TS. Phan Anh Tú (Phan Anh Tu)</w:t>
      </w:r>
      <w:r>
        <w:t xml:space="preserve"> </w:t>
      </w:r>
      <w:r>
        <w:t xml:space="preserve">Associate Professor, College of Economics</w:t>
      </w:r>
      <w:r>
        <w:t xml:space="preserve"> </w:t>
      </w:r>
      <w:r>
        <w:t xml:space="preserve">Can Tho University (CTU), Vietnam</w:t>
      </w:r>
      <w:r>
        <w:t xml:space="preserve"> </w:t>
      </w:r>
      <w:r>
        <w:rPr>
          <w:iCs/>
          <w:i/>
        </w:rPr>
        <w:t xml:space="preserve">Corresponding author</w:t>
      </w:r>
      <w:r>
        <w:t xml:space="preserve"> </w:t>
      </w:r>
      <w:r>
        <w:t xml:space="preserve">Email: patu@ctu.edu.vn | ORCID: 0000-0003-0667-3137</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2026-05-12T07:45:25Z</dcterms:created>
  <dcterms:modified xsi:type="dcterms:W3CDTF">2026-05-12T07:45:25Z</dcterms:modified>
</cp:coreProperties>
</file>

<file path=docProps/custom.xml><?xml version="1.0" encoding="utf-8"?>
<Properties xmlns="http://schemas.openxmlformats.org/officeDocument/2006/custom-properties" xmlns:vt="http://schemas.openxmlformats.org/officeDocument/2006/docPropsVTypes"/>
</file>