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bookmarkStart w:id="7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12 May 2026 — v12 Phase 9 (NotebookLM critique applied: §2.4 two-mechanism framing, §1.1/§1.3/Abstract/Highlights step-function elevation, §5.4 threshold-conditioned capital allocation)</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33"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33"/>
    <w:bookmarkStart w:id="34"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34"/>
    <w:bookmarkStart w:id="39" w:name="introduction"/>
    <w:p>
      <w:pPr>
        <w:pStyle w:val="Heading2"/>
      </w:pPr>
      <w:r>
        <w:t xml:space="preserve">1. Introduction</w:t>
      </w:r>
    </w:p>
    <w:bookmarkStart w:id="35"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35"/>
    <w:bookmarkStart w:id="36"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36"/>
    <w:bookmarkStart w:id="37"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37"/>
    <w:bookmarkStart w:id="38"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38"/>
    <w:bookmarkEnd w:id="39"/>
    <w:bookmarkStart w:id="44" w:name="theory-and-hypotheses"/>
    <w:p>
      <w:pPr>
        <w:pStyle w:val="Heading2"/>
      </w:pPr>
      <w:r>
        <w:t xml:space="preserve">2. Theory and hypotheses</w:t>
      </w:r>
    </w:p>
    <w:bookmarkStart w:id="40"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40"/>
    <w:bookmarkStart w:id="41"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41"/>
    <w:bookmarkStart w:id="42" w:name="X3c3a130d66a9b73cf57cd236c0b90b9b5f78226"/>
    <w:p>
      <w:pPr>
        <w:pStyle w:val="Heading3"/>
      </w:pPr>
      <w:r>
        <w:t xml:space="preserve">2.3 Website-based digital presence as a baseline control</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42"/>
    <w:bookmarkStart w:id="43" w:name="Xc5a2a99383014b63e4f4711abc650cca28d0c58"/>
    <w:p>
      <w:pPr>
        <w:pStyle w:val="Heading3"/>
      </w:pPr>
      <w:r>
        <w:t xml:space="preserve">2.4 Stage-contingent digital value (exploratory probe)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DAI, and export intensity as determinants of firm performance (Vietnam, 3-wave)</w:t>
            </w:r>
          </w:p>
        </w:tc>
      </w:tr>
    </w:tbl>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43"/>
    <w:bookmarkEnd w:id="44"/>
    <w:bookmarkStart w:id="49" w:name="data-variables-and-empirical-strategy"/>
    <w:p>
      <w:pPr>
        <w:pStyle w:val="Heading2"/>
      </w:pPr>
      <w:r>
        <w:t xml:space="preserve">3. Data, variables, and empirical strategy</w:t>
      </w:r>
    </w:p>
    <w:bookmarkStart w:id="45"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45"/>
    <w:bookmarkStart w:id="46"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6"/>
    <w:bookmarkStart w:id="47"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47"/>
    <w:bookmarkStart w:id="48"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8"/>
    <w:bookmarkEnd w:id="49"/>
    <w:bookmarkStart w:id="56"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50"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50"/>
    <w:bookmarkStart w:id="51"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tbl>
      <w:tblPr>
        <w:tblStyle w:val="FigureTable"/>
        <w:tblW w:type="auto" w:w="0"/>
        <w:tblLook w:firstRow="0" w:lastRow="0" w:firstColumn="0" w:lastColumn="0"/>
        <w:jc w:val="center"/>
      </w:tblPr>
      <w:tblGrid>
        <w:gridCol w:w="7920"/>
      </w:tblGrid>
      <w:tr>
        <w:tc>
          <w:tcPr/>
          <w:p>
            <w:pPr>
              <w:pStyle w:val="Compact"/>
              <w:jc w:val="center"/>
            </w:pPr>
            <w:r>
              <w:t xml:space="preserve">Figure 2a: Wave 2009 — predicted ln(labour productivity) vs FSTS</w:t>
            </w:r>
          </w:p>
        </w:tc>
      </w:tr>
    </w:tbl>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tbl>
      <w:tblPr>
        <w:tblStyle w:val="FigureTable"/>
        <w:tblW w:type="auto" w:w="0"/>
        <w:tblLook w:firstRow="0" w:lastRow="0" w:firstColumn="0" w:lastColumn="0"/>
        <w:jc w:val="center"/>
      </w:tblPr>
      <w:tblGrid>
        <w:gridCol w:w="7920"/>
      </w:tblGrid>
      <w:tr>
        <w:tc>
          <w:tcPr/>
          <w:p>
            <w:pPr>
              <w:pStyle w:val="Compact"/>
              <w:jc w:val="center"/>
            </w:pPr>
            <w:r>
              <w:t xml:space="preserve">Figure 2b: Wave 2015 — predicted ln(labour productivity) vs FSTS</w:t>
            </w:r>
          </w:p>
        </w:tc>
      </w:tr>
    </w:tbl>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tbl>
      <w:tblPr>
        <w:tblStyle w:val="FigureTable"/>
        <w:tblW w:type="auto" w:w="0"/>
        <w:tblLook w:firstRow="0" w:lastRow="0" w:firstColumn="0" w:lastColumn="0"/>
        <w:jc w:val="center"/>
      </w:tblPr>
      <w:tblGrid>
        <w:gridCol w:w="7920"/>
      </w:tblGrid>
      <w:tr>
        <w:tc>
          <w:tcPr/>
          <w:p>
            <w:pPr>
              <w:pStyle w:val="Compact"/>
              <w:jc w:val="center"/>
            </w:pPr>
            <w:r>
              <w:t xml:space="preserve">Figure 2c: Wave 2023 — predicted ln(labour productivity) vs FSTS</w:t>
            </w:r>
          </w:p>
        </w:tc>
      </w:tr>
    </w:tbl>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tbl>
      <w:tblPr>
        <w:tblStyle w:val="FigureTable"/>
        <w:tblW w:type="auto" w:w="0"/>
        <w:tblLook w:firstRow="0" w:lastRow="0" w:firstColumn="0" w:lastColumn="0"/>
        <w:jc w:val="center"/>
      </w:tblPr>
      <w:tblGrid>
        <w:gridCol w:w="7920"/>
      </w:tblGrid>
      <w:tr>
        <w:tc>
          <w:tcPr/>
          <w:p>
            <w:pPr>
              <w:pStyle w:val="Compact"/>
              <w:jc w:val="center"/>
            </w:pPr>
            <w:r>
              <w:t xml:space="preserve">Figure 2d: Pooled (2009+2015+2023) — predicted ln(labour productivity) vs FSTS</w:t>
            </w:r>
          </w:p>
        </w:tc>
      </w:tr>
    </w:tbl>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1"/>
    <w:bookmarkStart w:id="52"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tbl>
      <w:tblPr>
        <w:tblStyle w:val="FigureTable"/>
        <w:tblW w:type="auto" w:w="0"/>
        <w:tblLook w:firstRow="0" w:lastRow="0" w:firstColumn="0" w:lastColumn="0"/>
        <w:jc w:val="center"/>
      </w:tblPr>
      <w:tblGrid>
        <w:gridCol w:w="7920"/>
      </w:tblGrid>
      <w:tr>
        <w:tc>
          <w:tcPr/>
          <w:p>
            <w:pPr>
              <w:pStyle w:val="Compact"/>
              <w:jc w:val="center"/>
            </w:pPr>
            <w:r>
              <w:t xml:space="preserve">Figure 3: Moderator marginal effects — TCI and DAI interactions with FSTS (Vietnam)</w:t>
            </w:r>
          </w:p>
        </w:tc>
      </w:tr>
    </w:tbl>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2"/>
    <w:bookmarkStart w:id="53"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3"/>
    <w:bookmarkStart w:id="55"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3"/>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4"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54"/>
    <w:bookmarkEnd w:id="55"/>
    <w:bookmarkEnd w:id="56"/>
    <w:bookmarkStart w:id="62" w:name="discussion"/>
    <w:p>
      <w:pPr>
        <w:pStyle w:val="Heading2"/>
      </w:pPr>
      <w:r>
        <w:t xml:space="preserve">5. Discussion</w:t>
      </w:r>
    </w:p>
    <w:bookmarkStart w:id="57"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57"/>
    <w:bookmarkStart w:id="58"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8"/>
    <w:bookmarkStart w:id="59"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9"/>
    <w:bookmarkStart w:id="60"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0"/>
    <w:bookmarkStart w:id="61"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1"/>
    <w:bookmarkEnd w:id="62"/>
    <w:bookmarkStart w:id="63"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4"/>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63"/>
    <w:bookmarkStart w:id="64"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64"/>
    <w:bookmarkStart w:id="65" w:name="conflict-of-interest-1"/>
    <w:p>
      <w:pPr>
        <w:pStyle w:val="Heading2"/>
      </w:pPr>
      <w:r>
        <w:t xml:space="preserve">Conflict of interest</w:t>
      </w:r>
    </w:p>
    <w:p>
      <w:pPr>
        <w:pStyle w:val="FirstParagraph"/>
      </w:pPr>
      <w:r>
        <w:t xml:space="preserve">The authors declare no conflict of interest.</w:t>
      </w:r>
    </w:p>
    <w:bookmarkEnd w:id="65"/>
    <w:bookmarkStart w:id="66" w:name="funding-1"/>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66"/>
    <w:bookmarkStart w:id="67" w:name="data-availability-statement-1"/>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7"/>
    <w:bookmarkStart w:id="68" w:name="Xbbc709482064dffed7c9977656cbccc4cbea866"/>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8"/>
    <w:bookmarkStart w:id="69" w:name="acknowledgements-1"/>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9"/>
    <w:bookmarkStart w:id="7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1"/>
  </w:num>
  <w:num w:numId="1002">
    <w:abstractNumId w:val="991"/>
  </w:num>
  <w:num w:numId="1003">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4">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2026-05-12T07:45:12Z</dcterms:created>
  <dcterms:modified xsi:type="dcterms:W3CDTF">2026-05-12T07:45:12Z</dcterms:modified>
</cp:coreProperties>
</file>

<file path=docProps/custom.xml><?xml version="1.0" encoding="utf-8"?>
<Properties xmlns="http://schemas.openxmlformats.org/officeDocument/2006/custom-properties" xmlns:vt="http://schemas.openxmlformats.org/officeDocument/2006/docPropsVTypes"/>
</file>