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6,500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5 (inline)</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bookmarkStart w:id="40"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p>
      <w:pPr>
        <w:pStyle w:val="BodyText"/>
      </w:pPr>
      <w:r>
        <w:rPr>
          <w:iCs/>
          <w:i/>
        </w:rPr>
        <w:t xml:space="preserve">12 May 2026 — v8 Phase 9 (NotebookLM critique applied: §2.3.4 three-mechanism framing with amplification as focal H3 expectation, §3.4 Boundary Conditions and Identification Scope consolidating support / power / Lind–Mehlum equivalence / Heckman caveats, §5.1 Tier-1+2 construct boundary with generic emerging-market framing; cross-paper companion-paper refs removed throughout)</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3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The productivity association of digital adoption (DAI) in Singapore is conditional rather than uniform across firms.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The association between digital adoption (DAI) and firm performance becomes more positive at higher levels of export intensity in Singapore, with the</w:t>
      </w:r>
      <w:r>
        <w:t xml:space="preserve"> </w:t>
      </w:r>
      <w:r>
        <w:rPr>
          <w:iCs/>
          <w:i/>
        </w:rPr>
        <w:t xml:space="preserve">amplification</w:t>
      </w:r>
      <w:r>
        <w:t xml:space="preserve"> </w:t>
      </w:r>
      <w:r>
        <w:t xml:space="preserve">mechanism (super-linear scaling rather than level shift) as the focal theoretical expectation underpinning the positive quadratic FSTS × DAI interaction term.</w:t>
      </w:r>
      <w:r>
        <w:t xml:space="preserve"> </w:t>
      </w:r>
      <w:r>
        <w:t xml:space="preserve">### 2.4 Conceptual model</w:t>
      </w:r>
      <w:r>
        <w:t xml:space="preserve"> </w:t>
      </w: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and DAI moderating the I–P relationship</w:t>
            </w:r>
          </w:p>
        </w:tc>
      </w:tr>
    </w:tbl>
    <w:p>
      <w:pPr>
        <w:pStyle w:val="ImageCaption"/>
      </w:pPr>
      <w:r>
        <w:t xml:space="preserve">Figure 1: Conceptual model — TCI and DAI moderating the I–P relationship</w:t>
      </w:r>
    </w:p>
    <w:p>
      <w:pPr>
        <w:pStyle w:val="BodyText"/>
      </w:pPr>
      <w:r>
        <w:rPr>
          <w:iCs/>
          <w:i/>
        </w:rPr>
        <w:t xml:space="preserve">Figure 1.</w:t>
      </w:r>
      <w:r>
        <w:t xml:space="preserve"> </w:t>
      </w:r>
      <w:r>
        <w:t xml:space="preserve">Conceptual model. Internationalization (FSTS, FSTS²) is the independent variable; firm performance, measured as ln(labour productivity), is the dependent variable. Digital adoption (DAI) is the contingency variable on the I–P path (H3); technological capability (TCI) enters mainly as a direct-effect construct (H1), with any moderation by TCI assessed in a supplementary test rather than hypothesized ex ante. The diagram also lists the direct effect of DAI on the dependent variable (H2),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3.3 Estimation strategy and identification scope</w:t>
      </w:r>
      <w:r>
        <w:t xml:space="preserve"> </w:t>
      </w: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Start w:id="33"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enters with marginal significance (β = 0.264, SE = 0.138, t = 1.92, p = .055),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33"/>
    <w:bookmarkEnd w:id="34"/>
    <w:bookmarkStart w:id="37" w:name="results"/>
    <w:p>
      <w:pPr>
        <w:pStyle w:val="Heading2"/>
      </w:pPr>
      <w:r>
        <w:t xml:space="preserve">4 Results</w:t>
      </w:r>
    </w:p>
    <w:bookmarkStart w:id="35"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whereas the squared term is negative and statistically significant at the p &lt; .10 threshold.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35"/>
    <w:bookmarkStart w:id="36" w:name="tci-results"/>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t xml:space="preserve"> </w:t>
      </w:r>
      <w:r>
        <w:t xml:space="preserve">### 4.5 Robustness checks</w:t>
      </w:r>
      <w:r>
        <w:t xml:space="preserve"> </w:t>
      </w: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underscores that Singapore’s advanced digital maturity extends well beyond the Tier 1–2 foundational layer captured by DAI, reinforcing the theoretical claim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r>
        <w:t xml:space="preserve"> </w:t>
      </w:r>
      <w:r>
        <w:t xml:space="preserve">### 5.2 Managerial implications</w:t>
      </w:r>
      <w:r>
        <w:t xml:space="preserve"> </w:t>
      </w: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6"/>
    <w:bookmarkEnd w:id="37"/>
    <w:bookmarkStart w:id="38" w:name="acknowledgements-1"/>
    <w:p>
      <w:pPr>
        <w:pStyle w:val="Heading2"/>
      </w:pPr>
      <w:r>
        <w:t xml:space="preserve">Acknowledgements</w:t>
      </w:r>
    </w:p>
    <w:p>
      <w:pPr>
        <w:pStyle w:val="FirstParagraph"/>
      </w:pPr>
      <w:r>
        <w:t xml:space="preserve">We thank the Enterprise Analysis Unit of the Development Economics Global Indicators Group of the World Bank for the data.</w:t>
      </w:r>
    </w:p>
    <w:p>
      <w:r>
        <w:pict>
          <v:rect style="width:0;height:1.5pt" o:hralign="center" o:hrstd="t" o:hr="t"/>
        </w:pict>
      </w:r>
    </w:p>
    <w:bookmarkEnd w:id="38"/>
    <w:bookmarkStart w:id="39"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2026-05-12T07:45:14Z</dcterms:created>
  <dcterms:modified xsi:type="dcterms:W3CDTF">2026-05-12T07:45:14Z</dcterms:modified>
</cp:coreProperties>
</file>

<file path=docProps/custom.xml><?xml version="1.0" encoding="utf-8"?>
<Properties xmlns="http://schemas.openxmlformats.org/officeDocument/2006/custom-properties" xmlns:vt="http://schemas.openxmlformats.org/officeDocument/2006/docPropsVTypes"/>
</file>