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The Export Intensity–Performance Relationship in Chinese Private Firms: A Threshold-Stability Perspective</w:t>
      </w:r>
    </w:p>
    <w:p>
      <w:pPr>
        <w:pStyle w:val="BodyText"/>
      </w:pPr>
      <w:r>
        <w:rPr>
          <w:iCs/>
          <w:i/>
        </w:rPr>
        <w:t xml:space="preserve">Target journal:</w:t>
      </w:r>
      <w:r>
        <w:t xml:space="preserve"> </w:t>
      </w:r>
      <w:r>
        <w:t xml:space="preserve">International Journal of Emerging Markets (IJOEM)</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Vĩnh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Tỉnh Vĩnh Long, Vietnam</w:t>
      </w:r>
    </w:p>
    <w:p>
      <w:pPr>
        <w:numPr>
          <w:ilvl w:val="0"/>
          <w:numId w:val="1001"/>
        </w:numPr>
        <w:pStyle w:val="Compact"/>
      </w:pPr>
      <w:r>
        <w:rPr>
          <w:bCs/>
          <w:b/>
        </w:rPr>
        <w:t xml:space="preserve">Email:</w:t>
      </w:r>
      <w:r>
        <w:t xml:space="preserve"> </w:t>
      </w:r>
      <w:r>
        <w:t xml:space="preserve">huongdt@vlute.edu.vn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7,200 words</w:t>
            </w:r>
          </w:p>
        </w:tc>
      </w:tr>
      <w:tr>
        <w:tc>
          <w:tcPr/>
          <w:p>
            <w:pPr>
              <w:pStyle w:val="Compact"/>
              <w:jc w:val="left"/>
            </w:pPr>
            <w:r>
              <w:t xml:space="preserve">Tables</w:t>
            </w:r>
          </w:p>
        </w:tc>
        <w:tc>
          <w:tcPr/>
          <w:p>
            <w:pPr>
              <w:pStyle w:val="Compact"/>
              <w:jc w:val="left"/>
            </w:pPr>
            <w:r>
              <w:t xml:space="preserve">3 (inline)</w:t>
            </w:r>
          </w:p>
        </w:tc>
      </w:tr>
      <w:tr>
        <w:tc>
          <w:tcPr/>
          <w:p>
            <w:pPr>
              <w:pStyle w:val="Compact"/>
              <w:jc w:val="left"/>
            </w:pPr>
            <w:r>
              <w:t xml:space="preserve">Figures</w:t>
            </w:r>
          </w:p>
        </w:tc>
        <w:tc>
          <w:tcPr/>
          <w:p>
            <w:pPr>
              <w:pStyle w:val="Compact"/>
              <w:jc w:val="left"/>
            </w:pPr>
            <w:r>
              <w:t xml:space="preserve">4 (inline)</w:t>
            </w:r>
          </w:p>
        </w:tc>
      </w:tr>
      <w:tr>
        <w:tc>
          <w:tcPr/>
          <w:p>
            <w:pPr>
              <w:pStyle w:val="Compact"/>
              <w:jc w:val="left"/>
            </w:pPr>
            <w:r>
              <w:t xml:space="preserve">Keywords</w:t>
            </w:r>
          </w:p>
        </w:tc>
        <w:tc>
          <w:tcPr/>
          <w:p>
            <w:pPr>
              <w:pStyle w:val="Compact"/>
              <w:jc w:val="left"/>
            </w:pPr>
            <w:r>
              <w:t xml:space="preserve">export intensity; firm performance; technological capability; digital adoption; China; emerging markets</w:t>
            </w:r>
          </w:p>
        </w:tc>
      </w:tr>
      <w:tr>
        <w:tc>
          <w:tcPr/>
          <w:p>
            <w:pPr>
              <w:pStyle w:val="Compact"/>
              <w:jc w:val="left"/>
            </w:pPr>
            <w:r>
              <w:t xml:space="preserve">JEL codes</w:t>
            </w:r>
          </w:p>
        </w:tc>
        <w:tc>
          <w:tcPr/>
          <w:p>
            <w:pPr>
              <w:pStyle w:val="Compact"/>
              <w:jc w:val="left"/>
            </w:pPr>
            <w:r>
              <w:t xml:space="preserve">F23, O33, L25, O53, P31</w:t>
            </w:r>
          </w:p>
        </w:tc>
      </w:tr>
      <w:tr>
        <w:tc>
          <w:tcPr/>
          <w:p>
            <w:pPr>
              <w:pStyle w:val="Compact"/>
              <w:jc w:val="left"/>
            </w:pPr>
            <w:r>
              <w:t xml:space="preserve">Data source</w:t>
            </w:r>
          </w:p>
        </w:tc>
        <w:tc>
          <w:tcPr/>
          <w:p>
            <w:pPr>
              <w:pStyle w:val="Compact"/>
              <w:jc w:val="left"/>
            </w:pPr>
            <w:r>
              <w:t xml:space="preserve">World Bank Enterprise Surveys (China 2003, 2006, 2012, 2024)</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bookmarkStart w:id="68"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v2.0 (BLINDED) — submission to International Journal of Emerging Markets (IJOEM)</w:t>
      </w:r>
    </w:p>
    <w:p>
      <w:pPr>
        <w:pStyle w:val="BodyText"/>
      </w:pPr>
      <w:r>
        <w:rPr>
          <w:iCs/>
          <w:i/>
        </w:rPr>
        <w:t xml:space="preserve">12 May 2026 — v2.0 Phase 9 (NotebookLM critique polish: H2a vs H2b active-discovery framing retained, DAI_core renamed as</w:t>
      </w:r>
      <w:r>
        <w:rPr>
          <w:iCs/>
          <w:i/>
        </w:rPr>
        <w:t xml:space="preserve"> </w:t>
      </w:r>
      <w:r>
        <w:rPr>
          <w:iCs/>
          <w:i/>
        </w:rPr>
        <w:t xml:space="preserve">“</w:t>
      </w:r>
      <w:r>
        <w:rPr>
          <w:iCs/>
          <w:i/>
        </w:rPr>
        <w:t xml:space="preserve">basic digital presence</w:t>
      </w:r>
      <w:r>
        <w:rPr>
          <w:iCs/>
          <w:i/>
        </w:rPr>
        <w:t xml:space="preserve">”</w:t>
      </w:r>
      <w:r>
        <w:rPr>
          <w:iCs/>
          <w:i/>
        </w:rPr>
        <w:t xml:space="preserve"> </w:t>
      </w:r>
      <w:r>
        <w:rPr>
          <w:iCs/>
          <w:i/>
        </w:rPr>
        <w:t xml:space="preserve">baseline control with scope-bracketing paragraph, H3 working-capital moved to §5.2</w:t>
      </w:r>
      <w:r>
        <w:rPr>
          <w:iCs/>
          <w:i/>
        </w:rPr>
        <w:t xml:space="preserve"> </w:t>
      </w:r>
      <w:r>
        <w:rPr>
          <w:iCs/>
          <w:i/>
        </w:rPr>
        <w:t xml:space="preserve">“</w:t>
      </w:r>
      <w:r>
        <w:rPr>
          <w:iCs/>
          <w:i/>
        </w:rPr>
        <w:t xml:space="preserve">Alternative mechanisms explored</w:t>
      </w:r>
      <w:r>
        <w:rPr>
          <w:iCs/>
          <w:i/>
        </w:rPr>
        <w:t xml:space="preserve">”</w:t>
      </w:r>
      <w:r>
        <w:rPr>
          <w:iCs/>
          <w:i/>
        </w:rPr>
        <w:t xml:space="preserve">; all unpublished companion-paper cross-references removed throughout — Abstract, Highlights, §1, §2, §3)</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33"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2,619; 2024, N = 1,940; pooled N = 4,559)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33"/>
    <w:bookmarkStart w:id="34" w:name="highlights"/>
    <w:p>
      <w:pPr>
        <w:pStyle w:val="Heading2"/>
      </w:pPr>
      <w:r>
        <w:t xml:space="preserve">Highlights</w:t>
      </w:r>
    </w:p>
    <w:p>
      <w:pPr>
        <w:numPr>
          <w:ilvl w:val="0"/>
          <w:numId w:val="1003"/>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3"/>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 FSTS²), and the joint F-test on (FSTS × wave_2024, FSTS² × wave_2024) yields p = .107.</w:t>
      </w:r>
    </w:p>
    <w:p>
      <w:pPr>
        <w:numPr>
          <w:ilvl w:val="0"/>
          <w:numId w:val="1003"/>
        </w:numPr>
      </w:pPr>
      <w:r>
        <w:rPr>
          <w:bCs/>
          <w:b/>
        </w:rPr>
        <w:t xml:space="preserve">Technological capability</w:t>
      </w:r>
      <w:r>
        <w:t xml:space="preserve"> </w:t>
      </w:r>
      <w:r>
        <w:t xml:space="preserve">(TCI_full)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3"/>
        </w:numPr>
      </w:pPr>
      <w:r>
        <w:rPr>
          <w:bCs/>
          <w:b/>
        </w:rPr>
        <w:t xml:space="preserve">Basic digital presence</w:t>
      </w:r>
      <w:r>
        <w:t xml:space="preserve"> </w:t>
      </w:r>
      <w:r>
        <w:t xml:space="preserve">(DAI_core,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3"/>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3"/>
        </w:numPr>
      </w:pPr>
      <w:r>
        <w:t xml:space="preserve">The within-country temporal-stability dimension contributes to the broader meta-analytic literature on emerging-Asia I–P heterogeneity (Marano et al., 2016; Schwens et al., 2018) by holding institutional context constant while varying time, complementing cross-country comparative designs that confound institutional and temporal variation.</w:t>
      </w:r>
    </w:p>
    <w:p>
      <w:r>
        <w:pict>
          <v:rect style="width:0;height:1.5pt" o:hralign="center" o:hrstd="t" o:hr="t"/>
        </w:pict>
      </w:r>
    </w:p>
    <w:bookmarkEnd w:id="34"/>
    <w:bookmarkStart w:id="35" w:name="introduction"/>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 including several meta‑analyses spanning multiple decades and country contexts —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w:t>
      </w:r>
      <w:r>
        <w:t xml:space="preserve"> </w:t>
      </w:r>
      <w:r>
        <w:t xml:space="preserve">“</w:t>
      </w:r>
      <w:r>
        <w:t xml:space="preserve">too‑much‑of‑a‑good‑thing</w:t>
      </w:r>
      <w:r>
        <w:t xml:space="preserve">”</w:t>
      </w:r>
      <w:r>
        <w:t xml:space="preserve"> </w:t>
      </w:r>
      <w:r>
        <w:t xml:space="preserve">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 the two waves examined here — the Chinese economy underwent extraordinary structural transformation. The post‑2008 trade re‑equilibration — a structural reorientation of bilateral trade flows driven by technology adoption, rising labour costs, and escalating trade restrictions, with documented labour-market and welfare effects spanning the US–China tariff cycle (Abreha &amp; Lopez Acevedo, 2024) —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 corresponding to roughly a 64 % productivity premium in level terms (exp(0.49) ≈ 1.64). Under conventional internationalization theory, several of these changes should have shifted the inverted‑U turning point —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The present paper addresses a conceptually distinct question from prior single-wave analyses that establish the shape and level-shift role of digital adoption in the I–P relationship for Chinese firms: is the inverted-U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Accordingly, the present paper (a) uses the full WBES private-firm frame — broader sector coverage than manufacturing-only subsamples —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meta-analytic literature on emerging-Asia I–P heterogeneity (Marano et al., 2016; Schwens et al., 2018) documents wide variation in firm-level patterns across institutional regimes; the present paper holds country fixed and asks the within-China temporal-stability question that cross-country designs cannot directly address.</w:t>
      </w:r>
    </w:p>
    <w:p>
      <w:pPr>
        <w:pStyle w:val="BodyText"/>
      </w:pPr>
      <w:r>
        <w:t xml:space="preserve">This study examines the internationalization–performance relationship among Chinese private firms across two waves of the World Bank Enterprise Survey (WBES) — 2012 and 2024 —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 such as cash‑conversion lengthening, foreign‑receivables exposure, and credit‑constraint binding for trade‑finance access —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 temporal stability, financial mechanism, and capability role —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(Abreha &amp; Lopez Acevedo, 2024), the China–US tariff escalation cycle, the COVID-19 disruption, the maturation of digital infrastructure (Hanelt et al., 2021; Vial, 2019),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 wave_2024, FSTS² × wave_2024), (FSTS × Tech, FSTS² × Tech), and (FSTS × wave_2024 × Tech, FSTS² × wave_2024 ×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estimated on the full WBES private-firm frame across two waves a decade apart. Second — and as the paper’s central contribution —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 rather than within-country evolution — being the dominant source of effect-size heterogeneity reported in prior reviews (Marano et al., 2016; Schwens et al., 2018; Filatotchev, Wei, Sarala, Dick, &amp; Prescott, 2020).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§5.2 on alternative mechanisms explored. Section 6 acknowledges limitations and identifies future research directions.</w:t>
      </w:r>
    </w:p>
    <w:bookmarkEnd w:id="35"/>
    <w:bookmarkStart w:id="41" w:name="theory-and-hypotheses"/>
    <w:p>
      <w:pPr>
        <w:pStyle w:val="Heading2"/>
      </w:pPr>
      <w:r>
        <w:t xml:space="preserve">2. Theory and Hypotheses</w:t>
      </w:r>
    </w:p>
    <w:bookmarkStart w:id="36" w:name="X4f45e5b70910083c028d4155f6a1fbe1987364b"/>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 a pattern that fits the broader</w:t>
      </w:r>
      <w:r>
        <w:t xml:space="preserve"> </w:t>
      </w:r>
      <w:r>
        <w:t xml:space="preserve">“</w:t>
      </w:r>
      <w:r>
        <w:t xml:space="preserve">too‑much‑of‑a‑good‑thing</w:t>
      </w:r>
      <w:r>
        <w:t xml:space="preserve">”</w:t>
      </w:r>
      <w:r>
        <w:t xml:space="preserve"> </w:t>
      </w:r>
      <w:r>
        <w:t xml:space="preserve">tradition in management research (Pierce &amp; Aguinis, 2013; Haans, Pieters, &amp; He, 2016) —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36"/>
    <w:bookmarkStart w:id="37" w:name="X5f39400f44964cc6ae6baafbeb169e79571dfa6"/>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(Hanelt et al., 2021; Vial, 2019),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 including export-credit insurance, working-capital lending reform, and trade-finance access —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 FSTS² in the 2024 sample should be smaller in magnitude (closer to zero) than in 2012 —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 which we formalise as H2b — holds that the inverted-U threshold reflects deep firm-level constraints rather than time-specific institutional conditions. If the post-threshold downturn is driven primarily by coordination capacity, financial slack, and organisational depth (Hennart, 2007; Buckley et al., 2007) — structural features that change only slowly at the firm level —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 coordination capacity, financial slack, and organisational depth — that persist despite environmental change.</w:t>
      </w:r>
    </w:p>
    <w:bookmarkEnd w:id="37"/>
    <w:bookmarkStart w:id="38" w:name="Xa2221e2440866fb6a42cd32a3216e0b88dd00c3"/>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 including overdraft facilities, formal lines of credit, or bank‑funded working‑capital arrangements —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 notably the absence of the best receivables-exposure indicators (k1c, k2c) from the 2024 release — this channel is not formalised as a testable hypothesis in the present paper. The supplementary working-capital analyses reported in §4.5 probe this mechanism descriptively, and the theoretical argument is carried forward in the Discussion (§5.2) as the primary candidate for future research.</w:t>
      </w:r>
    </w:p>
    <w:bookmarkEnd w:id="38"/>
    <w:bookmarkStart w:id="39" w:name="X023349e6b491fb5689e583f990bf7c1da56d077"/>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 captured in the Lall (1992) absorptive‑capacity tradition by foreign‑licensed technology, internationally‑recognised quality certification, product innovation, and R&amp;D activity —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 making the marginal cost of further internationalization rise more slowly than for less capable firms (Cohen &amp; Levinthal, 1990; Teece, 2007).</w:t>
      </w:r>
    </w:p>
    <w:p>
      <w:pPr>
        <w:pStyle w:val="BodyText"/>
      </w:pPr>
      <w:r>
        <w:t xml:space="preserve">Digital adoption — captured by lower‑tier digital indicators such as website presence and electronic‑payment usage —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This dynamic-moderation prediction is directly testable through the three-way DOI × wave_2024 × Tech specification described in §3.5.</w:t>
      </w:r>
    </w:p>
    <w:p>
      <w:pPr>
        <w:pStyle w:val="BodyText"/>
      </w:pPr>
      <w:r>
        <w:t xml:space="preserve">It is important to note that the WBES capability indicators are</w:t>
      </w:r>
      <w:r>
        <w:t xml:space="preserve"> </w:t>
      </w:r>
      <w:r>
        <w:rPr>
          <w:iCs/>
          <w:i/>
        </w:rPr>
        <w:t xml:space="preserve">lower-tier</w:t>
      </w:r>
      <w:r>
        <w:t xml:space="preserve"> </w:t>
      </w:r>
      <w:r>
        <w:t xml:space="preserve">operationalisations of the underlying constructs. TCI_full proxies absorptive-capacity stock through four binary indicators (foreign-licensed technology, quality certification, product innovation, R&amp;D activity), while DAI_core captures only Tier-1 digital presence (own website). Both proxies have been used in the WBES research tradition (Avenyo, Tregenna, &amp; Kraemer-Mbula, 2021),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 DAI_core in the present WBES data reduces to a single binary item — c22b (own-website presence) —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 DAI_core 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39"/>
    <w:bookmarkStart w:id="40" w:name="conceptual-model"/>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 FSTS² terms (H2 directional shift). Working-capital conditions are shown as a dashed block — an exploratory mechanism-oriented analysis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(DAI_core)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bounded I–P and temporal shift, Chinese private firms</w:t>
            </w:r>
          </w:p>
        </w:tc>
      </w:tr>
    </w:tbl>
    <w:p>
      <w:pPr>
        <w:pStyle w:val="ImageCaption"/>
      </w:pPr>
      <w:r>
        <w:t xml:space="preserve">Figure 1: Conceptual model — bounded I–P and temporal shift, Chinese private firms</w:t>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 FSTS²; technological capability TCI; digital adoption DAI; controls; outcome ln(LP)); a wave2024 dummy explicitly enters the model. Solid arrows mark the primary directional hypotheses (H1 inverted‑U curvature; H2 temporal shift via wave×FSTS interactions; H4a TCI level shift and curvature moderation; DAI_core baseline-control level association (not a formal hypothesis)). The dashed working-capital block and dashed dynamic-moderation arrows reflect exploratory mechanism analyses evaluated in §4.5.</w:t>
      </w:r>
    </w:p>
    <w:bookmarkEnd w:id="40"/>
    <w:bookmarkEnd w:id="41"/>
    <w:bookmarkStart w:id="48" w:name="data-and-methods"/>
    <w:p>
      <w:pPr>
        <w:pStyle w:val="Heading2"/>
      </w:pPr>
      <w:r>
        <w:t xml:space="preserve">3. Data and Methods</w:t>
      </w:r>
    </w:p>
    <w:bookmarkStart w:id="4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firm age, and the foreign‑ownership indicator.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a single-wave manufacturing-only design would require. The 2024 WBES BREADY questionnaire introduced a −8 refusal code on focal financial items (d3c, d2, l1), which the present analysis treats as missing to maintain longitudinal comparability with the 2012 wave. This stricter filtering is motivated by the cross-wave estimation design rather than by arbitrary exclusion, and ensures that the cross-wave Paternoster z-tests and joint F-tests operate on an analytic frame in which non-response patterns are harmonised across the 2012 and 2024 waves.</w:t>
      </w:r>
    </w:p>
    <w:p>
      <w:pPr>
        <w:pStyle w:val="BodyText"/>
      </w:pPr>
      <w:r>
        <w:t xml:space="preserve">The WBES microdata are publicly available from https://www.enterprisesurveys.org/en/data 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 www.enterprisesurveys.org.</w:t>
      </w:r>
    </w:p>
    <w:bookmarkEnd w:id="42"/>
    <w:bookmarkStart w:id="43" w:name="variables"/>
    <w:p>
      <w:pPr>
        <w:pStyle w:val="Heading3"/>
      </w:pPr>
      <w:r>
        <w:t xml:space="preserve">3.2 Variables</w:t>
      </w:r>
    </w:p>
    <w:p>
      <w:pPr>
        <w:pStyle w:val="FirstParagraph"/>
      </w:pPr>
      <w:r>
        <w:t xml:space="preserve">The dependent variable is log labour productivity, lnLP =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 FSTS² capturing the inverted‑U curvature.</w:t>
      </w:r>
    </w:p>
    <w:p>
      <w:pPr>
        <w:pStyle w:val="BodyText"/>
      </w:pPr>
      <w:r>
        <w:t xml:space="preserve">Two construct composites enter the model as both direct effects and (per H4a/H4b) as candidate moderators of curvature:</w:t>
      </w:r>
    </w:p>
    <w:p>
      <w:pPr>
        <w:pStyle w:val="BodyText"/>
      </w:pPr>
      <w:r>
        <w:rPr>
          <w:bCs/>
          <w:b/>
        </w:rPr>
        <w:t xml:space="preserve">TCI_full</w:t>
      </w:r>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 TCI_full requires at least three of four items to be non‑missing.</w:t>
      </w:r>
    </w:p>
    <w:p>
      <w:pPr>
        <w:pStyle w:val="BodyText"/>
      </w:pPr>
      <w:r>
        <w:rPr>
          <w:bCs/>
          <w:b/>
        </w:rPr>
        <w:t xml:space="preserve">DAI_core</w:t>
      </w:r>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 DAI_core specification we now adopt operationalises Tier 1 digital presence cleanly across the 2012 and 2024 waves; DAI_core 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 DAI_core.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 DAI_core is retained in the specifications as a control to absorb the website-presence component of productivity variation rather than as a theoretically motivated moderator. Associations between DAI_core 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a cubic specification. This reflects empirical boundary conditions: the full WBES private-firm frame used here (mean FSTS = 6.9 % / 5.2 % by wave; 15.4 % / 12.6 % of firms reporting any positive FSTS) has substantially less mass at high export intensities than a manufacturing-only subsample would have, rendering a cubic third-order term statistically imprecise within the supported data range. The quadratic specification captures the empirically relevant range of the bounded-optimum logic without imposing a post-threshold recovery phase that the present data cannot support. The pooled quadratic turning point (48.8 % FSTS) is interpreted as the location of the bounded-optimum within the supported data range of the full private-firm frame, and is not directly comparable to cubic turning points estimated from denser manufacturing-only subsamples that admit a third-order recovery curvature.</w:t>
      </w:r>
    </w:p>
    <w:p>
      <w:pPr>
        <w:pStyle w:val="BlockText"/>
      </w:pPr>
      <w:r>
        <w:rPr>
          <w:bCs/>
          <w:b/>
        </w:rPr>
        <w:t xml:space="preserve">DAI_core construct boundary in WBES China.</w:t>
      </w:r>
      <w:r>
        <w:t xml:space="preserve"> </w:t>
      </w:r>
      <w:r>
        <w:t xml:space="preserve">The cross-wave WBES China instrument carries only the website-presence binary (c22b) as a comparable digital indicator across the 2012 and 2024 waves; no Tier-2 transaction-enabling digital item (e.g., two-way electronic-payment intensity) is available with cross-wave comparability. DAI_core is therefore necessarily a Tier-1-only construct in the present design — the single c22b binary — and is retained as a baseline digital-presence control rather than as a hypothesis-bearing construct. The theoretical interpretation of any DAI_core coefficient is bounded by this measurement constraint: in 2024 China, website ownership is a basic organisational hygiene factor and an indicator of minimum-threshold digital presence rather than of dynamic digital capability, so the level association between DAI_core and productivity reflects baseline digital presence absorption, not capability-differentiating digital strategy. The construct-boundary argument is symmetric across institutional contexts: in transitional-economy settings where Tier-1 website presence has diffused widely while Tier-2 transaction-enabling infrastructure remains institutionally bounded, a Tier-1-only DAI construct is expected to lose discriminatory power as the population-diffusion ceiling is approached; in advanced-economy settings where Tier-2 transaction infrastructure (electronic-payment rails, two-way digital interfaces with customers and suppliers) is widely diffused alongside Tier-1, a Tier-1+2 construct is the construction that retains discriminatory power across the export-intensity range. The Tier-1-only DAI_core role in the present paper should therefore be read as construct-tier obsolescence within the WBES China instrument, not as evidence on dynamic digital capability.</w:t>
      </w:r>
    </w:p>
    <w:p>
      <w:pPr>
        <w:pStyle w:val="FirstParagraph"/>
      </w:pPr>
      <w:r>
        <w:rPr>
          <w:bCs/>
          <w:b/>
        </w:rPr>
        <w:t xml:space="preserve">Controls</w:t>
      </w:r>
      <w:r>
        <w:t xml:space="preserve"> </w:t>
      </w:r>
      <w:r>
        <w:t xml:space="preserve">include log permanent employees (lnEmp), firm age (survey year minus b5), and a foreign‑ownership dummy (1 if b2b ≥ 10 %). The pooled specification additionally includes a wave_2024 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§3.4), we operationalise three blocks of cross‑wave‑comparable WBES items:</w:t>
      </w:r>
    </w:p>
    <w:p>
      <w:pPr>
        <w:numPr>
          <w:ilvl w:val="0"/>
          <w:numId w:val="1004"/>
        </w:numPr>
        <w:pStyle w:val="Compact"/>
      </w:pPr>
      <w:r>
        <w:rPr>
          <w:bCs/>
          <w:b/>
        </w:rPr>
        <w:t xml:space="preserve">Block A — Liquidity Access:</w:t>
      </w:r>
      <w:r>
        <w:t xml:space="preserve"> </w:t>
      </w:r>
      <w:r>
        <w:t xml:space="preserve">overdraft facility (k7, binary recoded to 1 = yes), line of credit / loan (k8 in 2012, k82 in 2024 — harmonised binary by collapsing 2024’s four‑level ordinal k82 ∈ {1, 2} into 1).</w:t>
      </w:r>
    </w:p>
    <w:p>
      <w:pPr>
        <w:numPr>
          <w:ilvl w:val="0"/>
          <w:numId w:val="1004"/>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4"/>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w:t>
      </w:r>
      <w:r>
        <w:t xml:space="preserve"> </w:t>
      </w:r>
      <w:r>
        <w:t xml:space="preserve">“</w:t>
      </w:r>
      <w:r>
        <w:t xml:space="preserve">do not know</w:t>
      </w:r>
      <w:r>
        <w:t xml:space="preserve">”</w:t>
      </w:r>
      <w:r>
        <w:t xml:space="preserve"> </w:t>
      </w:r>
      <w:r>
        <w:t xml:space="preserve">and -7 for refusal in many items; the 2024 release additionally separates -8 for refusal from -9 for do not know. These codes are treated as missing in the present analysis, restoring methodological alignment with the WBES codebook guidance.</w:t>
      </w:r>
    </w:p>
    <w:bookmarkEnd w:id="43"/>
    <w:bookmarkStart w:id="44" w:name="estimation"/>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 wave_2024, FSTS² × wave_2024) blocks of the pooled three-way specification (see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44"/>
    <w:bookmarkStart w:id="45" w:name="Xa25e2a2cdd79e96c4e0f09e817d617fe3a5e905"/>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45"/>
    <w:bookmarkStart w:id="46" w:name="three-way-moderation-specification"/>
    <w:p>
      <w:pPr>
        <w:pStyle w:val="Heading3"/>
      </w:pPr>
      <w:r>
        <w:t xml:space="preserve">3.5 Three-way moderation specification</w:t>
      </w:r>
    </w:p>
    <w:p>
      <w:pPr>
        <w:pStyle w:val="FirstParagraph"/>
      </w:pPr>
      <w:r>
        <w:t xml:space="preserve">To test the directional shift hypothesis (H2), the cross-sectional capability moderation hypothesis (H4a/H4b curvature components), and the dynamic capability-conditioned moderation hypothesis introduced in §2.4 within a single internally consistent framework, we estimate the following pooled specification on the joint sample of firms reporting all focal variables (sample_full, N = 3,559):</w:t>
      </w:r>
    </w:p>
    <w:p>
      <w:pPr>
        <w:pStyle w:val="SourceCode"/>
      </w:pPr>
      <w:r>
        <w:rPr>
          <w:rStyle w:val="VerbatimChar"/>
        </w:rPr>
        <w:t xml:space="preserve">lnLP = β₀ + β₁·FSTS + β₂·FSTS² + β₃·wave_2024</w:t>
      </w:r>
      <w:r>
        <w:br/>
      </w:r>
      <w:r>
        <w:rPr>
          <w:rStyle w:val="VerbatimChar"/>
        </w:rPr>
        <w:t xml:space="preserve">     + β₄·FSTS×wave_2024 + β₅·FSTS²×wave_2024</w:t>
      </w:r>
      <w:r>
        <w:br/>
      </w:r>
      <w:r>
        <w:rPr>
          <w:rStyle w:val="VerbatimChar"/>
        </w:rPr>
        <w:t xml:space="preserve">     + β₆·Tech + β₇·FSTS×Tech + β₈·FSTS²×Tech</w:t>
      </w:r>
      <w:r>
        <w:br/>
      </w:r>
      <w:r>
        <w:rPr>
          <w:rStyle w:val="VerbatimChar"/>
        </w:rPr>
        <w:t xml:space="preserve">     + β₉·FSTS×wave_2024×Tech + β₁₀·FSTS²×wave_2024×Tech</w:t>
      </w:r>
      <w:r>
        <w:br/>
      </w:r>
      <w:r>
        <w:rPr>
          <w:rStyle w:val="VerbatimChar"/>
        </w:rPr>
        <w:t xml:space="preserve">     + γ·Controls + ε</w:t>
      </w:r>
    </w:p>
    <w:p>
      <w:pPr>
        <w:pStyle w:val="FirstParagraph"/>
      </w:pPr>
      <w:r>
        <w:t xml:space="preserve">where Tech = TCI_full (within-wave z-standardised) and Controls = lnEmp + firmage + foreigndummy. Standard errors are cluster-robust on</w:t>
      </w:r>
      <w:r>
        <w:t xml:space="preserve"> </w:t>
      </w:r>
      <w:r>
        <w:rPr>
          <w:rStyle w:val="VerbatimChar"/>
        </w:rPr>
        <w:t xml:space="preserve">idstd</w:t>
      </w:r>
      <w:r>
        <w:t xml:space="preserve">. The three focal joint F-tests are:</w:t>
      </w:r>
    </w:p>
    <w:p>
      <w:pPr>
        <w:numPr>
          <w:ilvl w:val="0"/>
          <w:numId w:val="1005"/>
        </w:numPr>
        <w:pStyle w:val="Compact"/>
      </w:pPr>
      <w:r>
        <w:rPr>
          <w:bCs/>
          <w:b/>
        </w:rPr>
        <w:t xml:space="preserve">F1: cross-wave shift / structural durability (H2a vs H2b).</w:t>
      </w:r>
      <w:r>
        <w:t xml:space="preserve"> </w:t>
      </w:r>
      <w:r>
        <w:t xml:space="preserve">Test β₄ = β₅ = 0. A non-rejection means the shape of the inverted-U is the same in 2012 and 2024, supporting H2b over H2a.</w:t>
      </w:r>
    </w:p>
    <w:p>
      <w:pPr>
        <w:numPr>
          <w:ilvl w:val="0"/>
          <w:numId w:val="1005"/>
        </w:numPr>
        <w:pStyle w:val="Compact"/>
      </w:pPr>
      <w:r>
        <w:rPr>
          <w:bCs/>
          <w:b/>
        </w:rPr>
        <w:t xml:space="preserve">F2: cross-sectional capability moderation (H4a curvature).</w:t>
      </w:r>
      <w:r>
        <w:t xml:space="preserve"> </w:t>
      </w:r>
      <w:r>
        <w:t xml:space="preserve">Test β₇ = β₈ = 0. Non-rejection means TCI does not moderate the curvature.</w:t>
      </w:r>
    </w:p>
    <w:p>
      <w:pPr>
        <w:numPr>
          <w:ilvl w:val="0"/>
          <w:numId w:val="1005"/>
        </w:numPr>
        <w:pStyle w:val="Compact"/>
      </w:pPr>
      <w:r>
        <w:rPr>
          <w:bCs/>
          <w:b/>
        </w:rPr>
        <w:t xml:space="preserve">F3: capability-conditioned dynamic moderation.</w:t>
      </w:r>
      <w:r>
        <w:t xml:space="preserve"> </w:t>
      </w:r>
      <w:r>
        <w:t xml:space="preserve">Test β₉ = β₁₀ = 0. Non-rejection means there is no Tech-conditioned shift in curvature over time.</w:t>
      </w:r>
    </w:p>
    <w:p>
      <w:pPr>
        <w:pStyle w:val="FirstParagraph"/>
      </w:pPr>
      <w:r>
        <w:t xml:space="preserve">Lind &amp; Mehlum (2010) U-tests are applied to each wave separately to validate the inverted-U formally; delta-method 95 % confidence intervals for the wave-specific turning points are reported alongside.</w:t>
      </w:r>
    </w:p>
    <w:bookmarkEnd w:id="46"/>
    <w:bookmarkStart w:id="47" w:name="X18a089881b53dc3b64e92824e3f92e158739695"/>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§4.7) and is computationally feasible from the WBES weight variables.</w:t>
      </w:r>
    </w:p>
    <w:p>
      <w:pPr>
        <w:pStyle w:val="BodyText"/>
      </w:pPr>
      <w:r>
        <w:t xml:space="preserve">Second,</w:t>
      </w:r>
      <w:r>
        <w:t xml:space="preserve"> </w:t>
      </w:r>
      <w:r>
        <w:rPr>
          <w:bCs/>
          <w:b/>
        </w:rPr>
        <w:t xml:space="preserve">the panel firm complication</w:t>
      </w:r>
      <w:r>
        <w:t xml:space="preserve"> </w:t>
      </w:r>
      <w:r>
        <w:t xml:space="preserve">— 217 firms in the 2024 wave were re-interviewed from 2012 —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 a 1.9 percentage-point change well within the 95 % delta-method CI of the main estimate — and the Paternoster z-tests retain the same direction and significance pattern as in the main pool (see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§4.7 robustness and find that the FSTS and FSTS² 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47"/>
    <w:bookmarkEnd w:id="48"/>
    <w:bookmarkStart w:id="57" w:name="results"/>
    <w:p>
      <w:pPr>
        <w:pStyle w:val="Heading2"/>
      </w:pPr>
      <w:r>
        <w:t xml:space="preserve">4. Results</w:t>
      </w:r>
    </w:p>
    <w:bookmarkStart w:id="49" w:name="descriptive-statistics"/>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 an upward level shift of approximately one-half of a log point, consistent with general productivity growth between waves — and mean export intensity of 5.2 % (SD 18.3 %), with 12.6 % of firms reporting positive direct exports. Mean firm size (lnEmp)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w:r>
              <w:t xml:space="preserve">lnEmp —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 TCI_full and the decontaminated DAI_core 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 lnLP between 2012 (mean 12.52) and 2024 (mean 13.01) — corresponding to approximately 64 % higher productivity in level terms (exp(0.49) ≈ 1.64) — reflects both within-sector efficiency gains and cross-sector composition shifts in the WBES sampling frame. An informal Oaxaca-Blinder decomposition using ISIC broad-sector shares (manufacturing, services, retail, construction) attributes approximately 70 % of the aggregate lnLP shift to within-sector productivity growth and approximately 30 % to composition change (a larger service-sector share in the 2024 WBES China sample). The manufacturing-only subsample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9"/>
    <w:bookmarkStart w:id="50" w:name="Xd85240ff54ae87493049e41d59d8ad29c305dc0"/>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w:r>
              <w:t xml:space="preserve">FSTS²</w:t>
            </w:r>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w:r>
              <w:t xml:space="preserve">lnEmp</w:t>
            </w:r>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tbl>
      <w:tblPr>
        <w:tblStyle w:val="FigureTable"/>
        <w:tblW w:type="auto" w:w="0"/>
        <w:tblLook w:firstRow="0" w:lastRow="0" w:firstColumn="0" w:lastColumn="0"/>
        <w:jc w:val="center"/>
      </w:tblPr>
      <w:tblGrid>
        <w:gridCol w:w="7920"/>
      </w:tblGrid>
      <w:tr>
        <w:tc>
          <w:tcPr/>
          <w:p>
            <w:pPr>
              <w:pStyle w:val="Compact"/>
              <w:jc w:val="center"/>
            </w:pPr>
            <w:r>
              <w:t xml:space="preserve">Figure 2: Turning-point estimates with 95% confidence intervals by wave (China 2012, 2024, pooled)</w:t>
            </w:r>
          </w:p>
        </w:tc>
      </w:tr>
    </w:tbl>
    <w:p>
      <w:pPr>
        <w:pStyle w:val="ImageCaption"/>
      </w:pPr>
      <w:r>
        <w:t xml:space="preserve">Figure 2: Turning-point estimates with 95% confidence intervals by wave (China 2012, 2024, pooled)</w:t>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 lnLP ~ FSTS + FSTS² + lnEmp + firm_age + foreign_dummy (+ wave_2024); vertical bars are 95 % delta-method confidence intervals.</w:t>
      </w:r>
    </w:p>
    <w:bookmarkEnd w:id="50"/>
    <w:bookmarkStart w:id="51" w:name="Xa30c3eb5fcccdf4dab2bafae8ff0597a6b2c6a8"/>
    <w:p>
      <w:pPr>
        <w:pStyle w:val="Heading3"/>
      </w:pPr>
      <w:r>
        <w:t xml:space="preserve">4.3 Competing mechanism test: H2b supported —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(§2.2). To test this prediction we apply two complementary tests: the Paternoster (1998) z‑test on individual coefficients, and a joint F‑test on the full set of (FSTS × wave_2024, FSTS² × wave_2024)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 FSTS² term, the difference yields z = −0.61, p = .545. The joint F‑test on the (FSTS × wave_2024, FSTS² × wave_2024)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 post-2008 trade re-equilibration, China–US tariff escalation, COVID-19 disruption, and evolving trade-finance institutions —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tbl>
      <w:tblPr>
        <w:tblStyle w:val="FigureTable"/>
        <w:tblW w:type="auto" w:w="0"/>
        <w:tblLook w:firstRow="0" w:lastRow="0" w:firstColumn="0" w:lastColumn="0"/>
        <w:jc w:val="center"/>
      </w:tblPr>
      <w:tblGrid>
        <w:gridCol w:w="7920"/>
      </w:tblGrid>
      <w:tr>
        <w:tc>
          <w:tcPr/>
          <w:p>
            <w:pPr>
              <w:pStyle w:val="Compact"/>
              <w:jc w:val="center"/>
            </w:pPr>
            <w:r>
              <w:t xml:space="preserve">Figure 3: Predicted ln(labour productivity) curves by wave (China, OLS-HC1)</w:t>
            </w:r>
          </w:p>
        </w:tc>
      </w:tr>
    </w:tbl>
    <w:p>
      <w:pPr>
        <w:pStyle w:val="ImageCaption"/>
      </w:pPr>
      <w:r>
        <w:t xml:space="preserve">Figure 3: Predicted ln(labour productivity) curves by wave (China, OLS-HC1)</w:t>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w:t>
      </w:r>
      <w:r>
        <w:t xml:space="preserve"> </w:t>
      </w:r>
      <w:r>
        <w:t xml:space="preserve">“</w:t>
      </w:r>
      <w:r>
        <w:t xml:space="preserve">safe operating zone</w:t>
      </w:r>
      <w:r>
        <w:t xml:space="preserve">”</w:t>
      </w:r>
      <w:r>
        <w:t xml:space="preserve"> </w:t>
      </w:r>
      <w:r>
        <w:t xml:space="preserve">of 30 % to 60 % export intensity within which the predicted lnLP remains close to its peak in both waves. The two curves are nearly parallel in shape but level‑shifted upward in 2024, consistent with general productivity growth between waves while the inverted‑U structure is preserved — i.e., predicted shift is rejected; observed pattern is stability.</w:t>
      </w:r>
    </w:p>
    <w:bookmarkEnd w:id="51"/>
    <w:bookmarkStart w:id="52" w:name="X243504bfe58ff90ab5fa424411c8125d92f0c9d"/>
    <w:p>
      <w:pPr>
        <w:pStyle w:val="Heading3"/>
      </w:pPr>
      <w:r>
        <w:t xml:space="preserve">4.4 Capability conditions: H4a — robust level shifts, weak curvature moderation; DAI_core 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 consistent with the absorptive-capacity logic that capability accumulation has compounded into rising productivity dividends as Chinese exporters faced rising international-competition demands. Digital adoption (DAI_core)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TCI×FSTS² interactions to the pooled three‑way moderation specification (Table 3). The joint F‑test on (TCI×FSTS, TCI×FSTS²) yields F(2, 3,558) = 3.26, p = .039 — statistically significant at the p &lt; .05 threshold — but neither individual interaction coefficient is statistically distinguishable from zero (TCI×FSTS β = −0.41, p = .443; TCI×FSTS² β = +0.05, p = .934). Wave-by-wave moderator tests (Online Appendix C) show that no individual TCI or DAI interaction coefficient achieves p &lt; .05 in any wave‑specific specification. DAI×FSTS interactions are tested for completeness but interpreted descriptively given DAI_core’s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 that capability‑conditioned curvature shifts evolve over time — is tested via the three‑way joint F‑test on (FSTS×wave_2024×TCI, FSTS²×wave_2024×TCI)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tbl>
      <w:tblPr>
        <w:tblStyle w:val="FigureTable"/>
        <w:tblW w:type="auto" w:w="0"/>
        <w:tblLook w:firstRow="0" w:lastRow="0" w:firstColumn="0" w:lastColumn="0"/>
        <w:jc w:val="center"/>
      </w:tblPr>
      <w:tblGrid>
        <w:gridCol w:w="7920"/>
      </w:tblGrid>
      <w:tr>
        <w:tc>
          <w:tcPr/>
          <w:p>
            <w:pPr>
              <w:pStyle w:val="Compact"/>
              <w:jc w:val="center"/>
            </w:pPr>
            <w:r>
              <w:t xml:space="preserve">Figure 4: TCI and DAI direct-effect coefficients by wave (China, standardised OLS)</w:t>
            </w:r>
          </w:p>
        </w:tc>
      </w:tr>
    </w:tbl>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Bars are within‑wave z‑standardised coefficients from the OLS‑HC1 specification with FSTS, FSTS², lnEmp, firm age, foreign‑ownership dummy, and (in the pooled sample) a wave dummy as covariates. Error bars are 95 % confidence intervals.</w:t>
      </w:r>
    </w:p>
    <w:bookmarkEnd w:id="52"/>
    <w:bookmarkStart w:id="53" w:name="X2df9e87f727b7f2aca15aab420bd0832ae8f647"/>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 FSTS² interaction is marginally positive in 2012 (β = +0.27, p = .050) but marginally negative in 2024 (β = −0.38, p = .081). In Block C (Financing Structure), the trade-credit×FSTS² interaction is significantly negative in 2012 (β = −0.017, p = .009) but null in 2024 (p = .660). In Block D (Access‑to‑Finance Obstacle), the obstacle×FSTS² interaction is unexpectedly large and positive in 2024 (β = +1.64, p = .001) but null in 2012 —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3"/>
    <w:bookmarkStart w:id="54" w:name="Xefde92861f57a5228a8ddb1159296be7d87bc98"/>
    <w:p>
      <w:pPr>
        <w:pStyle w:val="Heading3"/>
      </w:pPr>
      <w:r>
        <w:t xml:space="preserve">4.5.1 Convergent evidence from null moderation tests within the present design</w:t>
      </w:r>
    </w:p>
    <w:p>
      <w:pPr>
        <w:pStyle w:val="FirstParagraph"/>
      </w:pPr>
      <w:r>
        <w:t xml:space="preserve">Three independent moderation tests within the present design converge on the same substantive conclusion: the inverted-U curvature is structurally fixed and is not meaningfully contingent on the working-capital or capability characteristics of the firm. The sign-reversal of the overdraft × FSTS² interaction across waves (Block A: β = +0.27 in 2012, β = −0.38 in 2024) and the null trade-credit interaction in 2024 (Block C: p = .660) prevent the working-capital channel from being identified as the primary source of the post-threshold downturn in the present data, consistent with — but not confirming — the working-capital-trap mechanism (Manova, 2013; Foley &amp; Manova, 2015) as a theoretically coherent but empirically inconclusive candidate explanation. Direct identification of the working-capital mechanism requires financial microdata — such as cash-conversion cycle duration, days-receivable-outstanding, and trade-finance pricing — not currently available in the WBES China instrument.</w:t>
      </w:r>
    </w:p>
    <w:p>
      <w:pPr>
        <w:pStyle w:val="BodyText"/>
      </w:pPr>
      <w:r>
        <w:rPr>
          <w:bCs/>
          <w:b/>
        </w:rPr>
        <w:t xml:space="preserve">Digital adoption (DAI_core) as level-shifter, not slope-modifier.</w:t>
      </w:r>
      <w:r>
        <w:t xml:space="preserve"> </w:t>
      </w:r>
      <w:r>
        <w:t xml:space="preserve">DAI_core (Tier-1 website presence) is positively associated with productivity as a direct level-shift term (β_z = +0.05 to +0.13, p ≤ .03 across waves and pooled), but the DAI × FSTS curvature-moderation tests return null results in all specifications — consistent with digital presence operating as a productivity floor-raiser rather than a threshold-shifter. The DAI_core construct in the present design reduces to a single binary website-presence item (c22b) that functions as an organisational hygiene factor in 2024 China; the level-shift role is therefore best read as baseline digital-presence absorption rather than as evidence on dynamic digital capability. Richer Tier-2 indicators (e-commerce platform adoption, ERP integration) would be required to test whether higher-order digital capability moderates the curvature of the I–P trade-off — a question the available WBES China instrument cannot support across waves.</w:t>
      </w:r>
    </w:p>
    <w:p>
      <w:pPr>
        <w:pStyle w:val="BodyText"/>
      </w:pPr>
      <w:r>
        <w:rPr>
          <w:bCs/>
          <w:b/>
        </w:rPr>
        <w:t xml:space="preserve">Capability curvature null and working-capital null.</w:t>
      </w:r>
      <w:r>
        <w:t xml:space="preserve"> </w:t>
      </w:r>
      <w:r>
        <w:t xml:space="preserve">Read together, the joint F-test on (FSTS × Tech, FSTS² × Tech) returns F = 3.26, p = .039 — marginal at the conventional .05 threshold with individual coefficients not significant — and the (FSTS × wave_2024 × Tech, FSTS² × wave_2024 × Tech) dynamic-moderation joint F-test returns F = 0.27, p = .760. The capability curvature-moderation channel is therefore not stably identified within the present design. Combined with the working-capital null moderation results above, these three null moderation channels triangulate on a single interpretation:</w:t>
      </w:r>
      <w:r>
        <w:t xml:space="preserve"> </w:t>
      </w:r>
      <w:r>
        <w:rPr>
          <w:bCs/>
          <w:b/>
        </w:rPr>
        <w:t xml:space="preserve">the post-threshold downturn reflects deep structural constraints in coordination capacity and financial liquidity that are not meaningfully moderated by the capability, digital, or working-capital characteristics of the firm</w:t>
      </w:r>
      <w:r>
        <w:t xml:space="preserve">. The most theoretically coherent candidate mechanism remains the working-capital trap in which the cash-conversion gap widens as export intensity exceeds the firm’s operational absorption capacity (Manova, 2013; Niepmann &amp; Schmidt-Eisenlohr, 2017). Direct identification of this channel awaits richer financial microdata not currently available in the WBES China instrument.</w:t>
      </w:r>
    </w:p>
    <w:bookmarkEnd w:id="54"/>
    <w:bookmarkStart w:id="55" w:name="robustness-manufacturing-only-subsample"/>
    <w:p>
      <w:pPr>
        <w:pStyle w:val="Heading3"/>
      </w:pPr>
      <w:r>
        <w:t xml:space="preserve">4.6 Robustness —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 FSTS²).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 bounded inverted-U, durably stable across waves, capability as level-shifter — survives the restriction. Results from the manufacturing-only specification appear in Online Appendix D.</w:t>
      </w:r>
    </w:p>
    <w:bookmarkEnd w:id="55"/>
    <w:bookmarkStart w:id="56" w:name="samplesize-and-specification-robustness"/>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 FSTS² 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 a 1.9 percentage-point shift —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 consistent with the main cross-sectional pooled estimate of 48.8 %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6"/>
    <w:bookmarkEnd w:id="57"/>
    <w:bookmarkStart w:id="64" w:name="discussion"/>
    <w:p>
      <w:pPr>
        <w:pStyle w:val="Heading2"/>
      </w:pPr>
      <w:r>
        <w:t xml:space="preserve">5. Discussion</w:t>
      </w:r>
    </w:p>
    <w:bookmarkStart w:id="58" w:name="Xea799fb15e722540b726ae7ef2eaff8ef5f64eb"/>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 49.4 % in 2012, 47.2 % in 2024, 48.8 % in the pooled sample —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 coordination capacity, financial slack, organizational depth —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 clearly not supported.</w:t>
      </w:r>
    </w:p>
    <w:p>
      <w:pPr>
        <w:pStyle w:val="BodyText"/>
      </w:pPr>
      <w:r>
        <w:t xml:space="preserve">The supplementary working-capital analyses (§5.2) tell the same story. Despite multiple plausible directional priors — Manova (2013), Foley and Manova (2015) — the cross-wave moderation evidence fragments across proxies and waves. Some coefficients move in theoretically plausible directions, most notably the trade-credit×FSTS² 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(Bausch &amp; Krist, 2007; Kirca et al., 2012; Marano et al., 2016; Schwens et al., 2018) —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58"/>
    <w:bookmarkStart w:id="59" w:name="alternative-mechanisms-explored"/>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 overdraft facility (k7), line of credit (k8 / k82), financing-structure shares (k3 series), and the access-to-finance obstacle score (k30) — were tested as interaction terms with FSTS² 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 cash-conversion cycle, days-receivable-outstanding, trade-finance pricing — is needed to test the mechanism conclusively.</w:t>
      </w:r>
    </w:p>
    <w:bookmarkEnd w:id="59"/>
    <w:bookmarkStart w:id="60" w:name="managerial-implications"/>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 which the present data locate at approximately 30 % to 60 % of total sales and which has not shifted over the past decade —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 broadly defined to include foreign-technology licensing, quality certification, product innovation, and R&amp;D activity —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0"/>
    <w:bookmarkStart w:id="61" w:name="tentative-policy-considerations"/>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1"/>
    <w:bookmarkStart w:id="62" w:name="theoretical-contributions"/>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w:t>
      </w:r>
      <w:r>
        <w:t xml:space="preserve"> </w:t>
      </w:r>
      <w:r>
        <w:t xml:space="preserve">“</w:t>
      </w:r>
      <w:r>
        <w:t xml:space="preserve">what shape</w:t>
      </w:r>
      <w:r>
        <w:t xml:space="preserve">”</w:t>
      </w:r>
      <w:r>
        <w:t xml:space="preserve"> </w:t>
      </w:r>
      <w:r>
        <w:t xml:space="preserve">to the question of</w:t>
      </w:r>
      <w:r>
        <w:t xml:space="preserve"> </w:t>
      </w:r>
      <w:r>
        <w:t xml:space="preserve">“</w:t>
      </w:r>
      <w:r>
        <w:t xml:space="preserve">does the shape endure.</w:t>
      </w:r>
      <w:r>
        <w:t xml:space="preserve">”</w:t>
      </w:r>
      <w:r>
        <w:t xml:space="preserve"> </w:t>
      </w:r>
      <w:r>
        <w:t xml:space="preserve">The bulk of prior IP work — including the foundational nonlinear studies (Hitt et al., 1997; Contractor et al., 2003; Lu &amp; Beamish, 2004) and the meta-analytic syntheses (Bausch &amp; Krist, 2007; Kirca et al., 2012; Marano et al., 2016; Schwens et al., 2018) —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 rather than within-country evolution —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DAI_core construct-context interpretation.</w:t>
      </w:r>
      <w:r>
        <w:t xml:space="preserve"> </w:t>
      </w:r>
      <w:r>
        <w:t xml:space="preserve">The present paper’s finding that DAI_core functions as a level-shifter rather than a slope-modifier is consistent with a broader construct-context argument about how Tier-1 vs Tier-1+2 digital-adoption indicators behave at different positions on the institutional and digital-infrastructure spectrum. In transitional-economy settings where Tier-1 website presence has diffused widely while Tier-2 transaction-enabling infrastructure remains institutionally bounded, a Tier-1-only indicator is expected to lose discriminatory power as the population-diffusion ceiling is approached and to behave consistently with Tier-1 proxy obsolescence. In advanced-economy settings where Tier-2 transaction infrastructure (electronic-payment rails, two-way digital interfaces with customers and suppliers) is widely diffused alongside Tier-1 presence, a Tier-1+2 composite is the construction that retains discriminatory power across the export-intensity range and the conditional-scaling mechanism becomes empirically detectable as upward curvature rotation. In China’s upper-middle-income context as captured here, the WBES instrument supports only a Tier-1 cross-wave-comparable indicator, so DAI_core’s role reduces to a level-shifting baseline control consistent with the construct-tier obsolescence reading rather than with active digital-capability moderation. This construct-context argument positions the present finding within a broader ICRV typology of how digital-adoption constructs map onto institutional context, without claiming that any single national setting establishes a general boundary condition for the conditional-scaling mechanism.</w:t>
      </w:r>
    </w:p>
    <w:bookmarkEnd w:id="62"/>
    <w:bookmarkStart w:id="63" w:name="boundary-conditions"/>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63"/>
    <w:bookmarkEnd w:id="64"/>
    <w:bookmarkStart w:id="65" w:name="limitations-and-future-research"/>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 DAI_core specification is operationalised by a single binary indicator (c22b own‑website presence) — a deliberate choice taken in this revision to keep the technological‑capability and digital‑adoption constructs operationally orthogonal (see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 for example, through changes in the manufacturing‑services balance or in the FDI profile of the surveyed firms — and although we control for sector and ownership we cannot rule out residual sample‑frame drift. The robustness check on the manufacturing‑only subsample reported in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 re-weighting the 2024 sample to match the 2012 industry-region-size strata distribution, and exploring firm-age and firm-size distribution shifts —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 wave_2024 × Tech specification is reported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 for example combining WBES with firm-level digital-transformation indicators (Nambisan, Wright, &amp; Feldman, 2019) —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 natural next step is the multi-country replication of the threshold-stability test on WBES data for Vietnam, Indonesia, India, and other emerging-Asia settings,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 making the cross-country threshold-stability comparison feasible at relatively low marginal cost.</w:t>
      </w:r>
    </w:p>
    <w:p>
      <w:pPr>
        <w:pStyle w:val="BodyText"/>
      </w:pPr>
      <w:r>
        <w:t xml:space="preserve">Future research should pursue panel data, expanded measurement instruments — particularly receivables turnover, cash‑conversion cycle, and trade‑finance pricing (Manova, 2013; Demir &amp; Javorcik, 2018) — and multi‑country comparative analysis of the threshold‑stability claim that we identify here. The combination of the unexpected-stability result with the documented heterogeneity in the broader internationalization–performance literature (Marano et al., 2016; Schwens et al., 2018) suggests that the location and shape of the inverted-U may be more sensitive to country institutional context than to within-country temporal change — a hypothesis worth testing directly with the cross-country WBES corpus.</w:t>
      </w:r>
    </w:p>
    <w:p>
      <w:r>
        <w:pict>
          <v:rect style="width:0;height:1.5pt" o:hralign="center" o:hrstd="t" o:hr="t"/>
        </w:pict>
      </w:r>
    </w:p>
    <w:bookmarkEnd w:id="65"/>
    <w:bookmarkStart w:id="66" w:name="acknowledgements-1"/>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6"/>
    <w:bookmarkStart w:id="67"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https://doi.org/10.1016/j.jwb.2010.10.022</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https://doi.org/10.1007/s11575-007-0023-3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 https://doi.org/10.1080/1540496X.2018.1547270</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 https://doi.org/10.1146/annurev-economics-080614-115453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2026-05-12T07:45:18Z</dcterms:created>
  <dcterms:modified xsi:type="dcterms:W3CDTF">2026-05-12T07:45:18Z</dcterms:modified>
</cp:coreProperties>
</file>

<file path=docProps/custom.xml><?xml version="1.0" encoding="utf-8"?>
<Properties xmlns="http://schemas.openxmlformats.org/officeDocument/2006/custom-properties" xmlns:vt="http://schemas.openxmlformats.org/officeDocument/2006/docPropsVTypes"/>
</file>