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26" w:name="Xed285cd0261846a13dee28de69c0403b250498d"/>
    <w:p>
      <w:pPr>
        <w:pStyle w:val="Heading2"/>
      </w:pPr>
      <w:r>
        <w:t xml:space="preserve">4.1 Thực trạng quốc tế hóa và hiệu quả hoạt động kinh doanh tại châu Á</w:t>
      </w:r>
    </w:p>
    <w:bookmarkStart w:id="22" w:name="Xdc33a1e36e2f3be83736669663a61a68c91d087"/>
    <w:p>
      <w:pPr>
        <w:pStyle w:val="Heading3"/>
      </w:pPr>
      <w:r>
        <w:t xml:space="preserve">4.1.1 Bức tranh tổng thể về hiệu quả doanh nghiệp châu Á</w:t>
      </w:r>
    </w:p>
    <w:p>
      <w:pPr>
        <w:pStyle w:val="FirstParagraph"/>
      </w:pPr>
      <w:r>
        <w:t xml:space="preserve">Phân tích mô tả trên pool 91.982 doanh nghiệp từ 49 nền kinh tế châu Á và Thái Bình Dương trong giai đoạn 2003–2025 cho thấy bức tranh hiệu quả hoạt động kinh doanh có sự phân tán lớn và không hội tụ. Năng suất lao động — đo bằng ln(doanh thu/lao động) — có độ lệch chuẩn dao động từ 0,49 (Advanced tài nguyên dẫn dắt) đến 1,36 (Nhóm V — Emerging), với tỷ số P90/P10 có xu hướng tăng (gần đơn điệu, với dao động giữa các Nhóm III–IV và V–VI)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mẫu phân tích hồi quy chính N = 91.982 từ 49 nền kinh tế).</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4.708</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2.269</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17.905</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Lower-middle transition (VNM, IND, IDN, PHL, BGD, PAK, MNG)</w:t>
            </w:r>
          </w:p>
        </w:tc>
        <w:tc>
          <w:tcPr/>
          <w:p>
            <w:pPr>
              <w:pStyle w:val="Compact"/>
              <w:jc w:val="left"/>
            </w:pPr>
            <w:r>
              <w:t xml:space="preserve">50.926</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Emerging (LAO, KHM, NPL, LKA, JOR…)</w:t>
            </w:r>
          </w:p>
        </w:tc>
        <w:tc>
          <w:tcPr/>
          <w:p>
            <w:pPr>
              <w:pStyle w:val="Compact"/>
              <w:jc w:val="left"/>
            </w:pPr>
            <w:r>
              <w:t xml:space="preserve">18.569</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phân tích hồi quy chính của P7 là N = 91.982 (mô hình baseline) và giảm dần khi bổ sung biến kiểm soát (xem §4.6.1), do loại các quan sát thiếu biến phụ thuộc/FSTS. Các thống kê độ phân tán (sd log LP) và tỷ lệ (%) được tính trên năng suất lao động đã hiệu chỉnh PPP/winsorize theo từng country-year (xem §3.5.3).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Lưu ý: chuyên đề tiến sĩ số 1 dùng tên mô tả cũ (</w:t>
      </w:r>
      <w:r>
        <w:rPr>
          <w:iCs/>
          <w:i/>
        </w:rPr>
        <w:t xml:space="preserve">‘</w:t>
      </w:r>
      <w:r>
        <w:rPr>
          <w:iCs/>
          <w:i/>
        </w:rPr>
        <w:t xml:space="preserve">Đang nổi</w:t>
      </w:r>
      <w:r>
        <w:rPr>
          <w:iCs/>
          <w:i/>
        </w:rPr>
        <w:t xml:space="preserve">’</w:t>
      </w:r>
      <w:r>
        <w:rPr>
          <w:iCs/>
          <w:i/>
        </w:rPr>
        <w:t xml:space="preserve">/</w:t>
      </w:r>
      <w:r>
        <w:rPr>
          <w:iCs/>
          <w:i/>
        </w:rPr>
        <w:t xml:space="preserve">‘</w:t>
      </w:r>
      <w:r>
        <w:rPr>
          <w:iCs/>
          <w:i/>
        </w:rPr>
        <w:t xml:space="preserve">Cận biên</w:t>
      </w:r>
      <w:r>
        <w:rPr>
          <w:iCs/>
          <w:i/>
        </w:rPr>
        <w:t xml:space="preserve">’</w:t>
      </w:r>
      <w:r>
        <w:rPr>
          <w:iCs/>
          <w:i/>
        </w:rPr>
        <w:t xml:space="preserve">) trên bản khóa mô tả riêng (xem crosswalk trong CĐ1); nhãn dùng trong luận án và P7/CĐ2 là nhãn dữ liệu nêu ở đây.</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 sd ≈ 1,03) và nhóm tài nguyên dẫn dắt (Saudi Arabia, Qatar, Kuwait — sd ≈ 0,49) xấp xỉ 2,1 lần, phản ánh hai cơ chế tăng trưởng và phân phối hoàn toàn khác nhau. Phân nhóm con tài nguyên dẫn dắt có độ phân tán năng suất thấp nhất toàn bộ pool —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đơn điệu của độ phân tán năng suất theo gradient ICRV không chỉ là một quan sát mô tả mà còn nhất quán với khung lý thuyết phân bổ sai nguồn lực (resource misallocation) của Hsieh và Klenow (2009): trong môi trường thể chế yếu, các rào cản thị trường — tiếp cận tài chính hạn chế, thực thi hợp đồng kém, méo mó chính sách —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§4.2.3) và gradient điểm uốn theo ICRV của mô hình hồi quy đa quốc gia P7 (§4.6.2). Hai nguồn bằng chứng này bảo đảm bức tranh thực trạng mô tả được neo vào bằng chứng suy diễn nhất quán, thay vì dừng lại ở so sánh trung bình–độ lệch chuẩn.</w:t>
      </w:r>
    </w:p>
    <w:bookmarkEnd w:id="22"/>
    <w:bookmarkStart w:id="23" w:name="X8bec3537640f28bf435d79e17219bfe20c234df"/>
    <w:p>
      <w:pPr>
        <w:pStyle w:val="Heading3"/>
      </w:pPr>
      <w:r>
        <w:t xml:space="preserve">4.1.2 Thực trạng quốc tế hóa — phân cực tham gia xuất khẩu</w:t>
      </w:r>
    </w:p>
    <w:p>
      <w:pPr>
        <w:pStyle w:val="FirstParagraph"/>
      </w:pPr>
      <w:r>
        <w:t xml:space="preserve">Trung vị FSTS bằng 0% trong tất cả các phân nhóm —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3"/>
    <w:bookmarkStart w:id="24"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 Adv. đổi mới</w:t>
            </w:r>
          </w:p>
        </w:tc>
        <w:tc>
          <w:tcPr/>
          <w:p>
            <w:pPr>
              <w:pStyle w:val="Compact"/>
              <w:jc w:val="left"/>
            </w:pPr>
            <w:r>
              <w:t xml:space="preserve">24,3</w:t>
            </w:r>
          </w:p>
        </w:tc>
        <w:tc>
          <w:tcPr/>
          <w:p>
            <w:pPr>
              <w:pStyle w:val="Compact"/>
              <w:jc w:val="left"/>
            </w:pPr>
            <w:r>
              <w:t xml:space="preserve">14,7</w:t>
            </w:r>
          </w:p>
        </w:tc>
        <w:tc>
          <w:tcPr/>
          <w:p>
            <w:pPr>
              <w:pStyle w:val="Compact"/>
              <w:jc w:val="left"/>
            </w:pPr>
            <w:r>
              <w:rPr>
                <w:bCs/>
                <w:b/>
              </w:rPr>
              <w:t xml:space="preserve">20,5</w:t>
            </w:r>
          </w:p>
        </w:tc>
        <w:tc>
          <w:tcPr/>
          <w:p>
            <w:pPr>
              <w:pStyle w:val="Compact"/>
              <w:jc w:val="left"/>
            </w:pPr>
            <w:r>
              <w:rPr>
                <w:bCs/>
                <w:b/>
              </w:rPr>
              <w:t xml:space="preserve">35,0</w:t>
            </w:r>
          </w:p>
        </w:tc>
        <w:tc>
          <w:tcPr/>
          <w:p>
            <w:pPr>
              <w:pStyle w:val="Compact"/>
              <w:jc w:val="left"/>
            </w:pPr>
            <w:r>
              <w:rPr>
                <w:bCs/>
                <w:b/>
              </w:rPr>
              <w:t xml:space="preserve">61,7</w:t>
            </w:r>
          </w:p>
        </w:tc>
      </w:tr>
      <w:tr>
        <w:tc>
          <w:tcPr/>
          <w:p>
            <w:pPr>
              <w:pStyle w:val="Compact"/>
              <w:jc w:val="left"/>
            </w:pPr>
            <w:r>
              <w:t xml:space="preserve">II —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tái tính trực tiếp từ dữ liệu thô WBES trên khung 49 nền (dedupe theo nước–năm, đợt ≥2006; chỉ báo h1/h5/h8/b8/c22b), nay tách đủ sáu nhóm — Nhóm II (GCC) đủ 6/6 nền nên không còn phải gộp vào Advanced như bản trước.</w:t>
      </w:r>
      <w:r>
        <w:rPr>
          <w:iCs/>
          <w:i/>
        </w:rPr>
        <w:t xml:space="preserve"> </w:t>
      </w:r>
      <w:r>
        <w:rPr>
          <w:iCs/>
          <w:i/>
        </w:rPr>
        <w:t xml:space="preserve">“</w:t>
      </w:r>
      <w:r>
        <w:rPr>
          <w:iCs/>
          <w:i/>
        </w:rPr>
        <w:t xml:space="preserve">Quy trình mới</w:t>
      </w:r>
      <w:r>
        <w:rPr>
          <w:iCs/>
          <w:i/>
        </w:rPr>
        <w:t xml:space="preserve">”</w:t>
      </w:r>
      <w:r>
        <w:rPr>
          <w:iCs/>
          <w:i/>
        </w:rPr>
        <w:t xml:space="preserve"> </w:t>
      </w:r>
      <w:r>
        <w:rPr>
          <w:iCs/>
          <w:i/>
        </w:rPr>
        <w:t xml:space="preserve">dùng định nghĩa chuẩn h5 (hẹp hơn bản khóa mô tả cũ). Bộ số này khớp Bảng 2.3.4.1 của Chuyên đề 1 (</w:t>
      </w:r>
      <w:r>
        <w:rPr>
          <w:rStyle w:val="VerbatimChar"/>
          <w:iCs/>
          <w:i/>
        </w:rPr>
        <w:t xml:space="preserve">data_wbes/analysis/CD1_PIPELINE_RESULTS.md</w:t>
      </w:r>
      <w:r>
        <w:rPr>
          <w:iCs/>
          <w:i/>
        </w:rPr>
        <w:t xml:space="preserve">). Gradient năng lực thể chế thể hiện rõ ở các biến nền tảng: R&amp;D 20,5% (Nhóm I) → 10,2% (Nhóm VI); ISO 35,0% → 12,2%; website 61,7% → 41,5%.</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Hiện tượng tương quan âm giữa DAI Tier-1 và năng suất trong nhóm Advanced (-0,129) là ảo ảnh thống kê do bão hòa Tier-1: hầu hết doanh nghiệp Advanced đã có website từ lâu, khiến biến nhị phân này không còn phân biệt được doanh nghiệp hiệu quả và kém hiệu quả trong nhóm đó. Khi loại trừ doanh nghiệp ICT, hệ số âm biến mất — xác nhận đây là vấn đề đo lường chứ không phải quan hệ nhân quả thực.</w:t>
      </w:r>
    </w:p>
    <w:bookmarkEnd w:id="24"/>
    <w:bookmarkStart w:id="25"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p>
      <w:r>
        <w:pict>
          <v:rect style="width:0;height:1.5pt" o:hralign="center" o:hrstd="t" o:hr="t"/>
        </w:pict>
      </w:r>
    </w:p>
    <w:bookmarkEnd w:id="25"/>
    <w:bookmarkEnd w:id="26"/>
    <w:bookmarkStart w:id="31" w:name="Xe0084a7c2f7e752cafc4091ca0758f37f91bfa0"/>
    <w:p>
      <w:pPr>
        <w:pStyle w:val="Heading2"/>
      </w:pPr>
      <w:r>
        <w:t xml:space="preserve">4.2 Kết quả tổng hợp định lượng — Meta-analysis ba tầng (P6)</w:t>
      </w:r>
    </w:p>
    <w:bookmarkStart w:id="27"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27"/>
    <w:bookmarkStart w:id="28"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8"/>
    <w:bookmarkStart w:id="29" w:name="X0fe7021f65141f72ccca43dd2595712a4bb11b5"/>
    <w:p>
      <w:pPr>
        <w:pStyle w:val="Heading3"/>
      </w:pPr>
      <w:r>
        <w:t xml:space="preserve">4.2.3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 được phân loại thành sáu nhóm từ Advanced Innovation-Driven (Nhóm I: Singapore, Hong Kong, Đài Loan, Hàn Quốc) đến SIDS (Nhóm VI) — là moderator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 meta-analysis cấp nghiên cứu — dùng hệ ICRV 5-regime rút gọn [I Advanced-Innovation, II Upper-Middle, III Emerging, FR Frontier/SIDS, MX Mixed], khác với hệ 6 nhóm cấp doanh nghiệp dùng ở §4.1 và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§4.2 giữ theo phân loại gốc của P6.)</w:t>
      </w:r>
    </w:p>
    <w:bookmarkEnd w:id="29"/>
    <w:bookmarkStart w:id="30"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30"/>
    <w:bookmarkEnd w:id="31"/>
    <w:bookmarkStart w:id="35" w:name="Xae571c1410747d630a72c4d12985bac375822ae"/>
    <w:p>
      <w:pPr>
        <w:pStyle w:val="Heading2"/>
      </w:pPr>
      <w:r>
        <w:t xml:space="preserve">4.3 Kết quả bối cảnh thể chế tiên tiến — Đổi mới: Singapore (P4)</w:t>
      </w:r>
    </w:p>
    <w:bookmarkStart w:id="32"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32"/>
    <w:bookmarkStart w:id="33"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3"/>
    <w:bookmarkStart w:id="34"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34"/>
    <w:bookmarkEnd w:id="35"/>
    <w:bookmarkStart w:id="39" w:name="Xabe361c2d5961cf19ce7ab2bd5d9bc6d758140a"/>
    <w:p>
      <w:pPr>
        <w:pStyle w:val="Heading2"/>
      </w:pPr>
      <w:r>
        <w:t xml:space="preserve">4.4 Kết quả bối cảnh thể chế trung bình cao: Trung Quốc, 2012–2024 (P5)</w:t>
      </w:r>
    </w:p>
    <w:bookmarkStart w:id="36" w:name="Xfb5fa188fd1fb4a9962d0cf33d126795226c748"/>
    <w:p>
      <w:pPr>
        <w:pStyle w:val="Heading3"/>
      </w:pPr>
      <w:r>
        <w:t xml:space="preserve">4.4.1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6"/>
    <w:bookmarkStart w:id="37" w:name="Xe662776ac4ed20d7263c0278e37e5e670eb65fc"/>
    <w:p>
      <w:pPr>
        <w:pStyle w:val="Heading3"/>
      </w:pPr>
      <w:r>
        <w:t xml:space="preserve">4.4.2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 có thể phản ánh sự bù trừ giữa chi phí thích ứng tăng lên do chính sách thương mại khó đoán và năng lực tổ chức ngày càng trưởng thành của các doanh nghiệp xuất khẩu Trung Quốc.</w:t>
      </w:r>
    </w:p>
    <w:bookmarkEnd w:id="37"/>
    <w:bookmarkStart w:id="38"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8"/>
    <w:bookmarkEnd w:id="39"/>
    <w:bookmarkStart w:id="44" w:name="Xdbd5cc67084304ba85b73781c0cb0c00b74055b"/>
    <w:p>
      <w:pPr>
        <w:pStyle w:val="Heading2"/>
      </w:pPr>
      <w:r>
        <w:t xml:space="preserve">4.5 Kết quả bối cảnh chuyển đổi bậc thấp—trung: Việt Nam (P3)</w:t>
      </w:r>
    </w:p>
    <w:bookmarkStart w:id="4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40"/>
    <w:bookmarkStart w:id="41" w:name="điểm-turning-point-theo-làn-sóng"/>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w:t>
      </w:r>
    </w:p>
    <w:bookmarkEnd w:id="41"/>
    <w:bookmarkStart w:id="42" w:name="điều-tiết-bởi-tci-tích-cực-và-có-ý-nghĩa"/>
    <w:p>
      <w:pPr>
        <w:pStyle w:val="Heading3"/>
      </w:pPr>
      <w:r>
        <w:t xml:space="preserve">4.5.3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 nhất quán với H2 trong khung lý thuyết CDCM.</w:t>
      </w:r>
    </w:p>
    <w:bookmarkEnd w:id="42"/>
    <w:bookmarkStart w:id="43" w:name="điều-tiết-bởi-dai-không-có-ý-nghĩa"/>
    <w:p>
      <w:pPr>
        <w:pStyle w:val="Heading3"/>
      </w:pPr>
      <w:r>
        <w:t xml:space="preserve">4.5.4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3"/>
    <w:bookmarkEnd w:id="44"/>
    <w:bookmarkStart w:id="48" w:name="X561afa853383c674354c1acb167a55cae3a018f"/>
    <w:p>
      <w:pPr>
        <w:pStyle w:val="Heading2"/>
      </w:pPr>
      <w:r>
        <w:t xml:space="preserve">4.6 Kết quả kiểm định toàn mẫu đa bối cảnh châu Á (P7)</w:t>
      </w:r>
    </w:p>
    <w:bookmarkStart w:id="45"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 cấu hình mạnh nhất về kiểm soát phương sai không quan sát (</w:t>
      </w:r>
      <m:oMath>
        <m:sSup>
          <m:e>
            <m:r>
              <m:rPr>
                <m:nor/>
                <m:sty m:val="p"/>
              </m:rPr>
              <m:t>adjR</m:t>
            </m:r>
          </m:e>
          <m:sup>
            <m:r>
              <m:t>2</m:t>
            </m:r>
          </m:sup>
        </m:sSup>
        <m:r>
          <m:rPr>
            <m:sty m:val="p"/>
          </m:rPr>
          <m:t>=</m:t>
        </m:r>
        <m:r>
          <m:rPr>
            <m:sty m:val="p"/>
          </m:rPr>
          <m:t>,</m:t>
        </m:r>
        <m:r>
          <m:t>677</m:t>
        </m:r>
      </m:oMath>
      <w:r>
        <w:t xml:space="preserve">) —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p>
      <w:pPr>
        <w:pStyle w:val="BodyText"/>
      </w:pPr>
      <w:r>
        <w:rPr>
          <w:bCs/>
          <w:b/>
        </w:rPr>
        <w:t xml:space="preserve">Lưu ý cập nhật dữ liệu (2026).</w:t>
      </w:r>
      <w:r>
        <w:t xml:space="preserve"> </w:t>
      </w:r>
      <w:r>
        <w:t xml:space="preserve">Sau khi P7 hoàn tất ước lượng trên mẫu phân tích 49 nền, bộ dữ liệu WBES được cập nhật bổ sung</w:t>
      </w:r>
      <w:r>
        <w:t xml:space="preserve"> </w:t>
      </w:r>
      <w:r>
        <w:rPr>
          <w:bCs/>
          <w:b/>
        </w:rPr>
        <w:t xml:space="preserve">Japan-2025</w:t>
      </w:r>
      <w:r>
        <w:t xml:space="preserve"> </w:t>
      </w:r>
      <w:r>
        <w:t xml:space="preserve">(khảo sát lần đầu, thuộc Nhóm I — nâng khung phân loại lên 50 nền/94.032 doanh nghiệp) cùng các sóng khảo sát mới 2024–2026 của 31 nền (chi tiết:</w:t>
      </w:r>
      <w:r>
        <w:t xml:space="preserve"> </w:t>
      </w:r>
      <w:r>
        <w:rPr>
          <w:rStyle w:val="VerbatimChar"/>
        </w:rPr>
        <w:t xml:space="preserve">data_wbes/analysis/DATA_UPDATE_MANIFEST.md</w:t>
      </w:r>
      <w:r>
        <w:t xml:space="preserve">). Các quan sát này được lưu trữ để phục vụ</w:t>
      </w:r>
      <w:r>
        <w:t xml:space="preserve"> </w:t>
      </w:r>
      <w:r>
        <w:rPr>
          <w:bCs/>
          <w:b/>
        </w:rPr>
        <w:t xml:space="preserve">vòng ước lượng lại P7 kế tiếp</w:t>
      </w:r>
      <w:r>
        <w:t xml:space="preserve">; kết quả P7 báo cáo ở đây</w:t>
      </w:r>
      <w:r>
        <w:t xml:space="preserve"> </w:t>
      </w:r>
      <w:r>
        <w:rPr>
          <w:bCs/>
          <w:b/>
        </w:rPr>
        <w:t xml:space="preserve">giữ nguyên trên mẫu phân tích 49 nền đã khóa</w:t>
      </w:r>
      <w:r>
        <w:t xml:space="preserve"> </w:t>
      </w:r>
      <w:r>
        <w:t xml:space="preserve">(khớp bản thảo đang bình duyệt). Vì P7 dùng country fixed effects và Japan là một nền đơn lẻ có biến thiên quốc tế hóa thấp (FSTS trung bình 4,1%), việc bổ sung Japan dự kiến không làm thay đổi turning point của các nhóm khác mà chỉ tinh chỉnh ước lượng riêng Nhóm I; xác nhận định lượng cần do nhóm nghiên cứu chạy lại do-file gốc của P7 trên mẫu mở rộng.</w:t>
      </w:r>
    </w:p>
    <w:bookmarkEnd w:id="45"/>
    <w:bookmarkStart w:id="46" w:name="gradient-icrv-xác-nhận-h5"/>
    <w:p>
      <w:pPr>
        <w:pStyle w:val="Heading3"/>
      </w:pPr>
      <w:r>
        <w:t xml:space="preserve">4.6.2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TP(Emerging/SIDS)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 meta-analytic và primary empirical — cùng chỉ ra gradient ICRV, tạo ra independent confirmation có giá trị.</w:t>
      </w:r>
    </w:p>
    <w:tbl>
      <w:tblPr>
        <w:tblStyle w:val="FigureTable"/>
        <w:tblW w:type="auto" w:w="0"/>
        <w:tblLook w:firstRow="0" w:lastRow="0" w:firstColumn="0" w:lastColumn="0"/>
        <w:jc w:val="center"/>
      </w:tblPr>
      <w:tblGrid>
        <w:gridCol w:w="7920"/>
      </w:tblGrid>
      <w:tr>
        <w:tc>
          <w:tcPr/>
          <w:p>
            <w:pPr>
              <w:pStyle w:val="Compact"/>
              <w:jc w:val="center"/>
            </w:pPr>
            <w:r>
              <w:t xml:space="preserve">Hình 4.1. Họ đường cong I–P phụ thuộc chế độ thể chế ICRV</w:t>
            </w:r>
          </w:p>
        </w:tc>
      </w:tr>
    </w:tbl>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I–P phụ thuộc chế độ thể chế ICRV.</w:t>
      </w:r>
      <w:r>
        <w:t xml:space="preserve"> </w:t>
      </w:r>
      <w:r>
        <w:t xml:space="preserve">Các đường chữ U ngược có cùng độ cao đỉnh nhưng điểm uốn (turning point) dịch dần sang phải khi chất lượng thể chế giảm (từ ≈28% ở Nhóm I đến ≈55% ở Nhóm V–VI); riêng nhóm SIDS (Nhóm VI) quan hệ chuyển sang âm đơn điệu không có điểm uốn (FIP, H1b).</w:t>
      </w:r>
      <w:r>
        <w:t xml:space="preserve"> </w:t>
      </w:r>
      <w:r>
        <w:rPr>
          <w:iCs/>
          <w:i/>
        </w:rPr>
        <w:t xml:space="preserve">Nguồn: minh họa của tác giả từ kết quả P6–P8.</w:t>
      </w:r>
    </w:p>
    <w:bookmarkEnd w:id="46"/>
    <w:bookmarkStart w:id="4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03"/>
        </w:numPr>
        <w:pStyle w:val="Compact"/>
      </w:pPr>
      <w:r>
        <w:rPr>
          <w:bCs/>
          <w:b/>
        </w:rPr>
        <w:t xml:space="preserve">DAI</w:t>
      </w:r>
      <w:r>
        <w:t xml:space="preserve">: có ý nghĩa thống kê toàn mẫu —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47"/>
    <w:bookmarkEnd w:id="48"/>
    <w:bookmarkStart w:id="52" w:name="X42f69945b56833cca239d45dc5864a7be6f74d7"/>
    <w:p>
      <w:pPr>
        <w:pStyle w:val="Heading2"/>
      </w:pPr>
      <w:r>
        <w:t xml:space="preserve">4.7 Kết quả trường hợp biên SIDS — Các nền kinh tế đảo nhỏ đang phát triển (P8)</w:t>
      </w:r>
    </w:p>
    <w:bookmarkStart w:id="49"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49"/>
    <w:bookmarkStart w:id="50" w:name="X305be4308b12f06c15c4aa0bf75053d865f81d7"/>
    <w:p>
      <w:pPr>
        <w:pStyle w:val="Heading3"/>
      </w:pPr>
      <w:r>
        <w:t xml:space="preserve">4.7.2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w:t>
      </w:r>
      <w:r>
        <w:t xml:space="preserve">— quan hệ âm đơn điệu. Trong mẫu chỉ gồm doanh nghiệp xuất khẩu (exporters-only, N = 26 —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50"/>
    <w:bookmarkStart w:id="51"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51"/>
    <w:bookmarkEnd w:id="52"/>
    <w:bookmarkStart w:id="53"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4.3.</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cũng thuộc chế độ thu nhập trung bình cao (Nhóm III ICRV), nơi điểm uốn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p>
      <w:r>
        <w:pict>
          <v:rect style="width:0;height:1.5pt" o:hralign="center" o:hrstd="t" o:hr="t"/>
        </w:pict>
      </w:r>
    </w:p>
    <w:bookmarkEnd w:id="53"/>
    <w:bookmarkStart w:id="54" w:name="tổng-hợp-kết-quả-theo-hệ-giả-thuyết"/>
    <w:p>
      <w:pPr>
        <w:pStyle w:val="Heading2"/>
      </w:pPr>
      <w:r>
        <w:t xml:space="preserve">4.9 Tổng hợp kết quả theo hệ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w:t>
            </w:r>
            <w:r>
              <w:t xml:space="preserve"> </w:t>
            </w:r>
            <w:r>
              <w:t xml:space="preserve">“</w:t>
            </w:r>
            <w:r>
              <w:t xml:space="preserve">digital shield</w:t>
            </w:r>
            <w:r>
              <w:t xml:space="preserve">”</w:t>
            </w:r>
            <w:r>
              <w:t xml:space="preserve"> </w:t>
            </w:r>
            <w:r>
              <w:t xml:space="preserve">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 40,7% (2022) →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54"/>
    <w:bookmarkStart w:id="55"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2026-06-11T20:36:51Z</dcterms:created>
  <dcterms:modified xsi:type="dcterms:W3CDTF">2026-06-11T20:36:51Z</dcterms:modified>
</cp:coreProperties>
</file>

<file path=docProps/custom.xml><?xml version="1.0" encoding="utf-8"?>
<Properties xmlns="http://schemas.openxmlformats.org/officeDocument/2006/custom-properties" xmlns:vt="http://schemas.openxmlformats.org/officeDocument/2006/docPropsVTypes"/>
</file>