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International Journal of Emerging Markets (Emerald Publishing).</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X8bf20a63f0decf7b16e99d564b9958ec4fbbb23"/>
    <w:p>
      <w:pPr>
        <w:pStyle w:val="Heading2"/>
      </w:pPr>
      <w:r>
        <w:t xml:space="preserve">2. Theory and Hypotheses</w:t>
      </w:r>
    </w:p>
    <w:bookmarkStart w:id="23" w:name="Xcec8abb30929305ffaf22433e6006159dcafc70"/>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318c1fea634a10967c98191445c5d08ccb10924"/>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X060d31242d4306baafc5e03914e6254ae49e087"/>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0ff06f102d45fcb8fa4478a82f55fd8f58f23cc"/>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Xd220370935321604b8cdfc5a5895802593c0b72"/>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BodyText"/>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r>
        <w:t xml:space="preserve">{width=6.5in}</w:t>
      </w:r>
    </w:p>
    <w:bookmarkEnd w:id="30"/>
    <w:bookmarkEnd w:id="31"/>
    <w:bookmarkStart w:id="37" w:name="X5eb800a903106e48a684e9ea9de39ed619b9df8"/>
    <w:p>
      <w:pPr>
        <w:pStyle w:val="Heading2"/>
      </w:pPr>
      <w:r>
        <w:t xml:space="preserve">3. Data and Methods</w:t>
      </w:r>
    </w:p>
    <w:bookmarkStart w:id="33" w:name="Xe44c7198c5f456f0b96f26ab6247749e5a25829"/>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w:t>
      </w:r>
      <w:r>
        <w:t xml:space="preserve"> </w:t>
      </w:r>
      <w:hyperlink r:id="rId32">
        <w:r>
          <w:rPr>
            <w:rStyle w:val="Hyperlink"/>
          </w:rPr>
          <w:t xml:space="preserve">https://www.enterprisesurveys.org</w:t>
        </w:r>
      </w:hyperlink>
      <w:r>
        <w:t xml:space="preserve"> </w:t>
      </w:r>
      <w:r>
        <w:t xml:space="preserve">subject to World Bank registration.</w:t>
      </w:r>
    </w:p>
    <w:bookmarkEnd w:id="33"/>
    <w:bookmarkStart w:id="34" w:name="Xbcf9f12e79107fa2c089aaf13fc6c4fb773f1c2"/>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4"/>
    <w:bookmarkStart w:id="35" w:name="X4b795af974b5b07f42f16cec52da76c45fb8d2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5"/>
    <w:bookmarkStart w:id="36" w:name="Xfcfef551bab64293bca084b9d423d059a51f3c8"/>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 "monotone or U" 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8"/>
    <w:bookmarkStart w:id="42" w:name="X3623da6fd251cdd708736906f4e561251a5ae18"/>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 * p &lt; 0.05, ** p &lt; 0.01, *** p &lt; 0.001. Turning point computed as TP = −β̂₁ / (2β̂₂); reported only for waves with inverted-U supported in Lind–Mehlum test.</w:t>
      </w:r>
    </w:p>
    <w:p>
      <w:pPr>
        <w:pStyle w:val="BodyText"/>
      </w:pPr>
      <w:r>
        <w:drawing>
          <wp:inline>
            <wp:extent cx="5334000" cy="3130882"/>
            <wp:effectExtent b="0" l="0" r="0" t="0"/>
            <wp:docPr descr="Figure 2. Wave-specific predicted I-P relationship: India 2014, 2022, 2025." title="" id="40" name="Picture"/>
            <a:graphic>
              <a:graphicData uri="http://schemas.openxmlformats.org/drawingml/2006/picture">
                <pic:pic>
                  <pic:nvPicPr>
                    <pic:cNvPr descr="/home/user/MY_THESIS_PHD_CANDIDATE_26/p9_india/replication/figures/figure_2_predicted_curves.png" id="41" name="Picture"/>
                    <pic:cNvPicPr>
                      <a:picLocks noChangeArrowheads="1" noChangeAspect="1"/>
                    </pic:cNvPicPr>
                  </pic:nvPicPr>
                  <pic:blipFill>
                    <a:blip r:embed="rId39"/>
                    <a:stretch>
                      <a:fillRect/>
                    </a:stretch>
                  </pic:blipFill>
                  <pic:spPr bwMode="auto">
                    <a:xfrm>
                      <a:off x="0" y="0"/>
                      <a:ext cx="5334000" cy="3130882"/>
                    </a:xfrm>
                    <a:prstGeom prst="rect">
                      <a:avLst/>
                    </a:prstGeom>
                    <a:noFill/>
                    <a:ln w="9525">
                      <a:noFill/>
                      <a:headEnd/>
                      <a:tailEnd/>
                    </a:ln>
                  </pic:spPr>
                </pic:pic>
              </a:graphicData>
            </a:graphic>
          </wp:inline>
        </w:drawing>
      </w:r>
      <w:r>
        <w:t xml:space="preserve">{width=6.5in}</w:t>
      </w:r>
    </w:p>
    <w:bookmarkEnd w:id="42"/>
    <w:bookmarkStart w:id="46" w:name="Xa2a3c373760265790b1a8e7b307529c391ea560"/>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BodyText"/>
      </w:pPr>
      <w:r>
        <w:drawing>
          <wp:inline>
            <wp:extent cx="5334000" cy="3485437"/>
            <wp:effectExtent b="0" l="0" r="0" t="0"/>
            <wp:docPr descr="Figure 3. Turning-point estimates and 2025 threshold collapse." title="" id="44" name="Picture"/>
            <a:graphic>
              <a:graphicData uri="http://schemas.openxmlformats.org/drawingml/2006/picture">
                <pic:pic>
                  <pic:nvPicPr>
                    <pic:cNvPr descr="/home/user/MY_THESIS_PHD_CANDIDATE_26/p9_india/replication/figures/figure_3_turning_points.png" id="45" name="Picture"/>
                    <pic:cNvPicPr>
                      <a:picLocks noChangeArrowheads="1" noChangeAspect="1"/>
                    </pic:cNvPicPr>
                  </pic:nvPicPr>
                  <pic:blipFill>
                    <a:blip r:embed="rId43"/>
                    <a:stretch>
                      <a:fillRect/>
                    </a:stretch>
                  </pic:blipFill>
                  <pic:spPr bwMode="auto">
                    <a:xfrm>
                      <a:off x="0" y="0"/>
                      <a:ext cx="5334000" cy="3485437"/>
                    </a:xfrm>
                    <a:prstGeom prst="rect">
                      <a:avLst/>
                    </a:prstGeom>
                    <a:noFill/>
                    <a:ln w="9525">
                      <a:noFill/>
                      <a:headEnd/>
                      <a:tailEnd/>
                    </a:ln>
                  </pic:spPr>
                </pic:pic>
              </a:graphicData>
            </a:graphic>
          </wp:inline>
        </w:drawing>
      </w:r>
      <w:r>
        <w:t xml:space="preserve">{width=6.5in}</w:t>
      </w:r>
    </w:p>
    <w:bookmarkEnd w:id="46"/>
    <w:bookmarkStart w:id="47" w:name="Xf60927d55a91114fea779cf36ab4cc04d3fbe2b"/>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7"/>
    <w:bookmarkStart w:id="51" w:name="Xfa6d62402842924c5c02d4fc334ff0a94d1ce6a"/>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 * p &lt; 0.05, ** p &lt; 0.01, *** p &lt; 0.001. Controls (ln(Employees), firm age, foreign ownership) included but suppressed for space.</w:t>
      </w:r>
    </w:p>
    <w:p>
      <w:pPr>
        <w:pStyle w:val="BodyText"/>
      </w:pPr>
      <w:r>
        <w:drawing>
          <wp:inline>
            <wp:extent cx="5334000" cy="3738442"/>
            <wp:effectExtent b="0" l="0" r="0" t="0"/>
            <wp:docPr descr="Figure 4. UPI rollout and Indian institutional shocks, 2014-2025." title="" id="49" name="Picture"/>
            <a:graphic>
              <a:graphicData uri="http://schemas.openxmlformats.org/drawingml/2006/picture">
                <pic:pic>
                  <pic:nvPicPr>
                    <pic:cNvPr descr="/home/user/MY_THESIS_PHD_CANDIDATE_26/p9_india/replication/figures/figure_4_upi_timeline.png" id="50" name="Picture"/>
                    <pic:cNvPicPr>
                      <a:picLocks noChangeArrowheads="1" noChangeAspect="1"/>
                    </pic:cNvPicPr>
                  </pic:nvPicPr>
                  <pic:blipFill>
                    <a:blip r:embed="rId48"/>
                    <a:stretch>
                      <a:fillRect/>
                    </a:stretch>
                  </pic:blipFill>
                  <pic:spPr bwMode="auto">
                    <a:xfrm>
                      <a:off x="0" y="0"/>
                      <a:ext cx="5334000" cy="3738442"/>
                    </a:xfrm>
                    <a:prstGeom prst="rect">
                      <a:avLst/>
                    </a:prstGeom>
                    <a:noFill/>
                    <a:ln w="9525">
                      <a:noFill/>
                      <a:headEnd/>
                      <a:tailEnd/>
                    </a:ln>
                  </pic:spPr>
                </pic:pic>
              </a:graphicData>
            </a:graphic>
          </wp:inline>
        </w:drawing>
      </w:r>
      <w:r>
        <w:t xml:space="preserve">{width=6.5in}</w:t>
      </w:r>
    </w:p>
    <w:bookmarkEnd w:id="51"/>
    <w:bookmarkStart w:id="52" w:name="X7b68f907ed55e65a2ee44288bf21fafeaedb955"/>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 * 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2"/>
    <w:bookmarkEnd w:id="53"/>
    <w:bookmarkStart w:id="60" w:name="X735612638e4e736e4693e459c258977262c0dfc"/>
    <w:p>
      <w:pPr>
        <w:pStyle w:val="Heading2"/>
      </w:pPr>
      <w:r>
        <w:t xml:space="preserve">5. Discussion</w:t>
      </w:r>
    </w:p>
    <w:bookmarkStart w:id="54" w:name="Xc19094a4c16362caac43b24a1cfd1e566bed788"/>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4"/>
    <w:bookmarkStart w:id="55" w:name="X5aa2e568177abc248bc73a150f5dd80385661c2"/>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5"/>
    <w:bookmarkStart w:id="56" w:name="Xfb124a5024cf96d638b9a68daad9b3c0689502a"/>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6"/>
    <w:bookmarkStart w:id="57" w:name="Xba25a0532df081593fbba6823962c8a78aab254"/>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 "what is the optimal export intensity?" but "under what institutional conditions does an optimum re-emerge?" 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7"/>
    <w:bookmarkStart w:id="58" w:name="X6fb952f48fe7386a51cacff4bb40301fd98916c"/>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8"/>
    <w:bookmarkStart w:id="59" w:name="X5106f0fe7d7b3d0e8858d892c327902f1f4cfd1"/>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9"/>
    <w:bookmarkEnd w:id="60"/>
    <w:bookmarkStart w:id="61" w:name="Xf3d63d3bef15b3e862b66ed5bd48a577996a1bc"/>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1"/>
    <w:bookmarkStart w:id="62"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2"/>
    <w:bookmarkStart w:id="63" w:name="conflict-of-interest"/>
    <w:p>
      <w:pPr>
        <w:pStyle w:val="Heading2"/>
      </w:pPr>
      <w:r>
        <w:t xml:space="preserve">Conflict of Interest</w:t>
      </w:r>
    </w:p>
    <w:p>
      <w:pPr>
        <w:pStyle w:val="FirstParagraph"/>
      </w:pPr>
      <w:r>
        <w:t xml:space="preserve">The authors declare no conflict of interest.</w:t>
      </w:r>
    </w:p>
    <w:bookmarkEnd w:id="63"/>
    <w:bookmarkStart w:id="6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4"/>
    <w:bookmarkStart w:id="65" w:name="data-availability-statement"/>
    <w:p>
      <w:pPr>
        <w:pStyle w:val="Heading2"/>
      </w:pPr>
      <w:r>
        <w:t xml:space="preserve">Data availability statement</w:t>
      </w:r>
    </w:p>
    <w:p>
      <w:pPr>
        <w:pStyle w:val="FirstParagraph"/>
      </w:pPr>
      <w:r>
        <w:t xml:space="preserve">WBES India 2014, 2022, and 2025 microdata are publicly available via</w:t>
      </w:r>
      <w:r>
        <w:t xml:space="preserve"> </w:t>
      </w:r>
      <w:hyperlink r:id="rId32">
        <w:r>
          <w:rPr>
            <w:rStyle w:val="Hyperlink"/>
          </w:rPr>
          <w:t xml:space="preserve">https://www.enterprisesurveys.org</w:t>
        </w:r>
      </w:hyperlink>
      <w:r>
        <w:t xml:space="preserve"> </w:t>
      </w:r>
      <w:r>
        <w:t xml:space="preserve">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5"/>
    <w:bookmarkStart w:id="6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6"/>
    <w:bookmarkStart w:id="68" w:name="references"/>
    <w:p>
      <w:pPr>
        <w:pStyle w:val="Heading2"/>
      </w:pPr>
      <w:r>
        <w:t xml:space="preserve">References</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67">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772/intechopen.1011012" TargetMode="External" /><Relationship Type="http://schemas.openxmlformats.org/officeDocument/2006/relationships/hyperlink" Id="rId3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2026-06-09T08:07:05Z</dcterms:created>
  <dcterms:modified xsi:type="dcterms:W3CDTF">2026-06-09T08:07:05Z</dcterms:modified>
</cp:coreProperties>
</file>

<file path=docProps/custom.xml><?xml version="1.0" encoding="utf-8"?>
<Properties xmlns="http://schemas.openxmlformats.org/officeDocument/2006/custom-properties" xmlns:vt="http://schemas.openxmlformats.org/officeDocument/2006/docPropsVTypes"/>
</file>