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7"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Management International Review (Springer Nature), or alternatively International Journal of Emerging Markets (Emerald).</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institutional and digital transformation decade from 2014 to 2025. The analysis also tests whether technological and digital capabilities moderate the threshold. India’s 2016 to 2020 reform window covers demonetisation, Goods and Services Tax (GST), Insolvency and Bankruptcy Code (IBC), Unified Payments Interface (UPI) saturation, the Production-Linked Incentive (PLI) scheme, and the Atmanirbhar Bharat self-reliance policy. This window provides an unusually demanding stress test for the threshold-stability claim.</w:t>
      </w:r>
    </w:p>
    <w:p>
      <w:pPr>
        <w:pStyle w:val="BodyText"/>
      </w:pPr>
      <w:r>
        <w:rPr>
          <w:bCs/>
          <w:b/>
        </w:rPr>
        <w:t xml:space="preserve">Design/methodology/approach.</w:t>
      </w:r>
      <w:r>
        <w:t xml:space="preserve"> </w:t>
      </w:r>
      <w:r>
        <w:t xml:space="preserve">Three waves of World Bank Enterprise Survey microdata for India (2014 PICS3, N = 9,281; 2022 BEE, N = 9,376; 2025 BREADY, N = 10,479; pooled raw N = 29,136) are estimated via OLS with HC1 robust standard errors, quadratic FSTS terms, and capability interactions. Lind–Mehlum U-tests verify the inverted-U per wave; Paternoster cross-wave z-tests evaluate coefficient equality between 2014 and 2025 (primary 11-year window); the 2022 wave provides 3-wave robustness with linear and quadratic time trends. UPI rollout (April 2016) provides a quasi-natural experiment for DAI saturation between the two primary waves.</w:t>
      </w:r>
    </w:p>
    <w:p>
      <w:pPr>
        <w:pStyle w:val="BodyText"/>
      </w:pPr>
      <w:r>
        <w:rPr>
          <w:bCs/>
          <w:b/>
        </w:rPr>
        <w:t xml:space="preserve">Findings.</w:t>
      </w:r>
      <w:r>
        <w:t xml:space="preserve"> </w:t>
      </w:r>
      <w:r>
        <w:t xml:space="preserve">The results indicate a structural collapse of the inverted-U. In 2014, the relationship is classically inverted-U with turning point at FSTS = 61.8 per cent (95 per cent CI: 55.0, 68.6) and Lind–Mehlum joint p &lt; 0.0001. By 2022, the inverted-U remains but the turning point moves inward to 40.7 per cent (95 per cent CI: 38.0, 43.5). By 2025, the curvature term loses statistical significance (β₂ = −0.16, p = 0.42). The relationship becomes monotonically negative across the full FSTS range. Paternoster cross-wave z-tests reject coefficient equality for both linear (z = −7.94, p &lt; 0.0001) and quadratic (z = +4.17, p &lt; 0.0001) terms between 2014 and 2025. The 3-wave pooled robustness with wave dummies confirms FSTS × wave_2025 = −1.63 (p &lt; 0.0001). The UPI Tier-2 e-payment interaction is negative (FSTS × DAI_epay = −4.02, p = 0.004). This suggests that domestic-rupee digital infrastructure does not substitute for the cross-border financial infrastructure that exporters require.</w:t>
      </w:r>
    </w:p>
    <w:p>
      <w:pPr>
        <w:pStyle w:val="BodyText"/>
      </w:pPr>
      <w:r>
        <w:rPr>
          <w:bCs/>
          <w:b/>
        </w:rPr>
        <w:t xml:space="preserve">Research limitations/implications.</w:t>
      </w:r>
      <w:r>
        <w:t xml:space="preserve"> </w:t>
      </w:r>
      <w:r>
        <w:t xml:space="preserve">The three waves are independent cross-sections rather than within-firm panels, supporting cross-wave comparison but not within-firm causal inference. The 2014 (PICS3), 2022 (BEE intermediate), and 2025 (BREADY) instruments differ in DAI instrumentation (Tier-1 only vs Tier-1 + Tier-2 e-payment), constraining 3-wave DAI moderation tests to Tier-1 unless the 2025-only Tier-2 analysis is treated as exploratory.</w:t>
      </w:r>
    </w:p>
    <w:p>
      <w:pPr>
        <w:pStyle w:val="BodyText"/>
      </w:pPr>
      <w:r>
        <w:rPr>
          <w:bCs/>
          <w:b/>
        </w:rPr>
        <w:t xml:space="preserve">Practical implications.</w:t>
      </w:r>
      <w:r>
        <w:t xml:space="preserve"> </w:t>
      </w:r>
      <w:r>
        <w:t xml:space="preserve">For Indian SME export-promotion policy under Atmanirbhar Bharat and the PLI scheme, the disappearance of the inverted-U turning point implies that prior export-intensity targets are no longer empirically defensible for the 2025 institutional environment. The 2014 productivity-maximising FSTS of approximately 60 per cent no longer characterises the 2025 firm-level production function. For digital infrastructure policy, the negative Tier-2 DAI moderation refutes the simple substitution hypothesis. Domestically-oriented UPI rails do not substitute for the cross-border financial infrastructure that exporters require (SWIFT, correspondent banking, trade finance, export-credit insurance). Policy investment in cross-border-specific digital infrastructure is the binding constraint on internationalisation productivity.</w:t>
      </w:r>
    </w:p>
    <w:p>
      <w:pPr>
        <w:pStyle w:val="BodyText"/>
      </w:pPr>
      <w:r>
        <w:rPr>
          <w:bCs/>
          <w:b/>
        </w:rPr>
        <w:t xml:space="preserve">Social implications.</w:t>
      </w:r>
      <w:r>
        <w:t xml:space="preserve"> </w:t>
      </w:r>
      <w:r>
        <w:t xml:space="preserve">Findings inform South Asian SME inclusion in global value chains. The Indian case demonstrates that publicly provisioned domestic digital infrastructure (UPI, Aadhaar, ONDC) and cross-border export infrastructure are complements rather than substitutes in the export production function. Inclusive export growth requires policy investment in both layers.</w:t>
      </w:r>
    </w:p>
    <w:p>
      <w:pPr>
        <w:pStyle w:val="BodyText"/>
      </w:pPr>
      <w:r>
        <w:rPr>
          <w:bCs/>
          <w:b/>
        </w:rPr>
        <w:t xml:space="preserve">Originality/value.</w:t>
      </w:r>
      <w:r>
        <w:t xml:space="preserve"> </w:t>
      </w:r>
      <w:r>
        <w:t xml:space="preserve">This study provides the first firm-level evidence that extreme institutional transformation can dissolve the inverted-U threshold, rather than relocate its turning point. The finding identifies a previously untested scope condition for the canonical Lu and Beamish (2004) inverted-U claim. The threshold is conditional on institutional stability. The authors’ earlier work on Indian firms (Do and Phan, 2025) uses a linear DOI specification, FGLS estimation, 380 matched firms, and an Upper Echelons theoretical lens. It is acknowledged here only as prior author work.</w:t>
      </w:r>
    </w:p>
    <w:p>
      <w:pPr>
        <w:pStyle w:val="BodyText"/>
      </w:pPr>
      <w:r>
        <w:rPr>
          <w:bCs/>
          <w:b/>
        </w:rPr>
        <w:t xml:space="preserve">Keywords:</w:t>
      </w:r>
      <w:r>
        <w:t xml:space="preserve"> </w:t>
      </w:r>
      <w:r>
        <w:t xml:space="preserve">internationalisation–performance; export intensity; threshold stability; India; UPI; digital capability; technological capability; institutional transformation; emerging markets;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 = 9,281), 2022 BEE (N = 9,376), and 2025 BREADY (N = 10,479).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This study makes three contributions. Firstly,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theory-and-hypotheses"/>
    <w:p>
      <w:pPr>
        <w:pStyle w:val="Heading2"/>
      </w:pPr>
      <w:r>
        <w:t xml:space="preserve">2. Theory and Hypotheses</w:t>
      </w:r>
    </w:p>
    <w:bookmarkStart w:id="23" w:name="X43c84b9269dc477895c44f820702e9060fb814e"/>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1122495630921333020f7d159de308f08cf24a7"/>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technological-capability-moderation"/>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70a2bee9dfb3e9a520e126500e6cfbc083fe498"/>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conceptual-model"/>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CaptionedFigure"/>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p>
    <w:p>
      <w:pPr>
        <w:pStyle w:val="ImageCaption"/>
      </w:pPr>
      <w:r>
        <w:t xml:space="preserve">Figure 1. Conceptual model: conditional inverted-U with capability moderation under institutional scope condition.</w:t>
      </w:r>
    </w:p>
    <w:bookmarkEnd w:id="30"/>
    <w:bookmarkEnd w:id="31"/>
    <w:bookmarkStart w:id="36" w:name="data-and-methods"/>
    <w:p>
      <w:pPr>
        <w:pStyle w:val="Heading2"/>
      </w:pPr>
      <w:r>
        <w:t xml:space="preserve">3. Data and Methods</w:t>
      </w:r>
    </w:p>
    <w:bookmarkStart w:id="32" w:name="data-sources"/>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 https://www.enterprisesurveys.org subject to World Bank registration.</w:t>
      </w:r>
    </w:p>
    <w:bookmarkEnd w:id="32"/>
    <w:bookmarkStart w:id="33" w:name="variables"/>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3"/>
    <w:bookmarkStart w:id="34" w:name="X2d2d5d3672368fb46842627a3037ee4bc4105b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4"/>
    <w:bookmarkStart w:id="35" w:name="estimation-strategy"/>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w:t>
      </w:r>
      <w:r>
        <w:t xml:space="preserve"> </w:t>
      </w:r>
      <w:r>
        <w:t xml:space="preserve">“</w:t>
      </w:r>
      <w:r>
        <w:t xml:space="preserve">monotone or U</w:t>
      </w:r>
      <w:r>
        <w:t xml:space="preserve">”</w:t>
      </w:r>
      <w:r>
        <w:t xml:space="preserve"> </w:t>
      </w:r>
      <w:r>
        <w:t xml:space="preserve">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5"/>
    <w:bookmarkEnd w:id="36"/>
    <w:bookmarkStart w:id="52" w:name="results"/>
    <w:p>
      <w:pPr>
        <w:pStyle w:val="Heading2"/>
      </w:pPr>
      <w:r>
        <w:t xml:space="preserve">4. Results</w:t>
      </w:r>
    </w:p>
    <w:bookmarkStart w:id="37" w:name="descriptive-statistics"/>
    <w:p>
      <w:pPr>
        <w:pStyle w:val="Heading3"/>
      </w:pPr>
      <w:r>
        <w:t xml:space="preserve">4.1 Descriptive statistics</w:t>
      </w:r>
    </w:p>
    <w:p>
      <w:pPr>
        <w:pStyle w:val="FirstParagraph"/>
      </w:pPr>
      <w:r>
        <w:t xml:space="preserve">Sample sizes after listwise deletion on focal variables and firmage validation (capped at [0, 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7"/>
    <w:bookmarkStart w:id="41" w:name="wave-by-wave-inverted-u-estimation"/>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w:t>
      </w:r>
      <w:r>
        <w:rPr>
          <w:iCs/>
          <w:i/>
        </w:rPr>
        <w:t xml:space="preserve"> </w:t>
      </w:r>
      <w:r>
        <w:t xml:space="preserve"> </w:t>
      </w:r>
      <w:r>
        <w:t xml:space="preserve">p &lt; 0.05, ** p &lt; 0.01, *** p &lt; 0.001. Turning point computed as TP = −β̂₁ / (2β̂₂); reported only for waves with inverted-U supported in Lind–Mehlum test.*</w:t>
      </w:r>
    </w:p>
    <w:p>
      <w:pPr>
        <w:pStyle w:val="CaptionedFigure"/>
      </w:pPr>
      <w:r>
        <w:drawing>
          <wp:inline>
            <wp:extent cx="5334000" cy="3130882"/>
            <wp:effectExtent b="0" l="0" r="0" t="0"/>
            <wp:docPr descr="Figure 2. Wave-specific predicted I-P relationship: India 2014, 2022, 2025." title="" id="39" name="Picture"/>
            <a:graphic>
              <a:graphicData uri="http://schemas.openxmlformats.org/drawingml/2006/picture">
                <pic:pic>
                  <pic:nvPicPr>
                    <pic:cNvPr descr="/home/user/MY_THESIS_PHD_CANDIDATE_26/p9_india/replication/figures/figure_2_predicted_curves.png" id="40" name="Picture"/>
                    <pic:cNvPicPr>
                      <a:picLocks noChangeArrowheads="1" noChangeAspect="1"/>
                    </pic:cNvPicPr>
                  </pic:nvPicPr>
                  <pic:blipFill>
                    <a:blip r:embed="rId38"/>
                    <a:stretch>
                      <a:fillRect/>
                    </a:stretch>
                  </pic:blipFill>
                  <pic:spPr bwMode="auto">
                    <a:xfrm>
                      <a:off x="0" y="0"/>
                      <a:ext cx="5334000" cy="3130882"/>
                    </a:xfrm>
                    <a:prstGeom prst="rect">
                      <a:avLst/>
                    </a:prstGeom>
                    <a:noFill/>
                    <a:ln w="9525">
                      <a:noFill/>
                      <a:headEnd/>
                      <a:tailEnd/>
                    </a:ln>
                  </pic:spPr>
                </pic:pic>
              </a:graphicData>
            </a:graphic>
          </wp:inline>
        </w:drawing>
      </w:r>
    </w:p>
    <w:p>
      <w:pPr>
        <w:pStyle w:val="ImageCaption"/>
      </w:pPr>
      <w:r>
        <w:t xml:space="preserve">Figure 2. Wave-specific predicted I-P relationship: India 2014, 2022, 2025.</w:t>
      </w:r>
    </w:p>
    <w:bookmarkEnd w:id="41"/>
    <w:bookmarkStart w:id="45" w:name="Xd3a2f990fdcf9395af6a5a697379a40e70d23aa"/>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CaptionedFigure"/>
      </w:pPr>
      <w:r>
        <w:drawing>
          <wp:inline>
            <wp:extent cx="5334000" cy="3485437"/>
            <wp:effectExtent b="0" l="0" r="0" t="0"/>
            <wp:docPr descr="Figure 3. Turning-point estimates and 2025 threshold collapse." title="" id="43" name="Picture"/>
            <a:graphic>
              <a:graphicData uri="http://schemas.openxmlformats.org/drawingml/2006/picture">
                <pic:pic>
                  <pic:nvPicPr>
                    <pic:cNvPr descr="/home/user/MY_THESIS_PHD_CANDIDATE_26/p9_india/replication/figures/figure_3_turning_points.png" id="44" name="Picture"/>
                    <pic:cNvPicPr>
                      <a:picLocks noChangeArrowheads="1" noChangeAspect="1"/>
                    </pic:cNvPicPr>
                  </pic:nvPicPr>
                  <pic:blipFill>
                    <a:blip r:embed="rId42"/>
                    <a:stretch>
                      <a:fillRect/>
                    </a:stretch>
                  </pic:blipFill>
                  <pic:spPr bwMode="auto">
                    <a:xfrm>
                      <a:off x="0" y="0"/>
                      <a:ext cx="5334000" cy="3485437"/>
                    </a:xfrm>
                    <a:prstGeom prst="rect">
                      <a:avLst/>
                    </a:prstGeom>
                    <a:noFill/>
                    <a:ln w="9525">
                      <a:noFill/>
                      <a:headEnd/>
                      <a:tailEnd/>
                    </a:ln>
                  </pic:spPr>
                </pic:pic>
              </a:graphicData>
            </a:graphic>
          </wp:inline>
        </w:drawing>
      </w:r>
    </w:p>
    <w:p>
      <w:pPr>
        <w:pStyle w:val="ImageCaption"/>
      </w:pPr>
      <w:r>
        <w:t xml:space="preserve">Figure 3. Turning-point estimates and 2025 threshold collapse.</w:t>
      </w:r>
    </w:p>
    <w:bookmarkEnd w:id="45"/>
    <w:bookmarkStart w:id="46" w:name="three-wave-pooled-robustness"/>
    <w:p>
      <w:pPr>
        <w:pStyle w:val="Heading3"/>
      </w:pPr>
      <w:r>
        <w:t xml:space="preserve">4.4 Three-wave pooled robustness</w:t>
      </w:r>
    </w:p>
    <w:p>
      <w:pPr>
        <w:pStyle w:val="FirstParagraph"/>
      </w:pPr>
      <w:r>
        <w:t xml:space="preserve">The pooled 3-wave model with wave dummies (N = 28,742,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6"/>
    <w:bookmarkStart w:id="50" w:name="capability-moderators-h3-h4a-h4b"/>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w:t>
      </w:r>
      <w:r>
        <w:rPr>
          <w:iCs/>
          <w:i/>
        </w:rPr>
        <w:t xml:space="preserve"> </w:t>
      </w:r>
      <w:r>
        <w:t xml:space="preserve"> </w:t>
      </w:r>
      <w:r>
        <w:t xml:space="preserve">p &lt; 0.05, ** p &lt; 0.01, *** p &lt; 0.001. Controls (ln(Employees), firm age, foreign ownership) included but suppressed for space.*</w:t>
      </w:r>
    </w:p>
    <w:p>
      <w:pPr>
        <w:pStyle w:val="CaptionedFigure"/>
      </w:pPr>
      <w:r>
        <w:drawing>
          <wp:inline>
            <wp:extent cx="5334000" cy="3738442"/>
            <wp:effectExtent b="0" l="0" r="0" t="0"/>
            <wp:docPr descr="Figure 4. UPI rollout and Indian institutional shocks, 2014-2025." title="" id="48" name="Picture"/>
            <a:graphic>
              <a:graphicData uri="http://schemas.openxmlformats.org/drawingml/2006/picture">
                <pic:pic>
                  <pic:nvPicPr>
                    <pic:cNvPr descr="/home/user/MY_THESIS_PHD_CANDIDATE_26/p9_india/replication/figures/figure_4_upi_timeline.png" id="49" name="Picture"/>
                    <pic:cNvPicPr>
                      <a:picLocks noChangeArrowheads="1" noChangeAspect="1"/>
                    </pic:cNvPicPr>
                  </pic:nvPicPr>
                  <pic:blipFill>
                    <a:blip r:embed="rId47"/>
                    <a:stretch>
                      <a:fillRect/>
                    </a:stretch>
                  </pic:blipFill>
                  <pic:spPr bwMode="auto">
                    <a:xfrm>
                      <a:off x="0" y="0"/>
                      <a:ext cx="5334000" cy="3738442"/>
                    </a:xfrm>
                    <a:prstGeom prst="rect">
                      <a:avLst/>
                    </a:prstGeom>
                    <a:noFill/>
                    <a:ln w="9525">
                      <a:noFill/>
                      <a:headEnd/>
                      <a:tailEnd/>
                    </a:ln>
                  </pic:spPr>
                </pic:pic>
              </a:graphicData>
            </a:graphic>
          </wp:inline>
        </w:drawing>
      </w:r>
    </w:p>
    <w:p>
      <w:pPr>
        <w:pStyle w:val="ImageCaption"/>
      </w:pPr>
      <w:r>
        <w:t xml:space="preserve">Figure 4. UPI rollout and Indian institutional shocks, 2014-2025.</w:t>
      </w:r>
    </w:p>
    <w:bookmarkEnd w:id="50"/>
    <w:bookmarkStart w:id="51" w:name="robustness-checks"/>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pct" w:w="5000"/>
        <w:tblLook w:firstRow="1" w:lastRow="0" w:firstColumn="0" w:lastColumn="0" w:noHBand="0" w:noVBand="0" w:val="0020"/>
        <w:jc w:val="start"/>
      </w:tblPr>
      <w:tblGrid>
        <w:gridCol w:w="913"/>
        <w:gridCol w:w="1218"/>
        <w:gridCol w:w="1218"/>
        <w:gridCol w:w="1218"/>
        <w:gridCol w:w="1218"/>
        <w:gridCol w:w="1218"/>
        <w:gridCol w:w="913"/>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w:t>
      </w:r>
      <w:r>
        <w:rPr>
          <w:iCs/>
          <w:i/>
        </w:rPr>
        <w:t xml:space="preserve"> </w:t>
      </w:r>
      <w:r>
        <w:t xml:space="preserve"> </w:t>
      </w:r>
      <w:r>
        <w:t xml:space="preserve">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1"/>
    <w:bookmarkEnd w:id="52"/>
    <w:bookmarkStart w:id="59" w:name="discussion"/>
    <w:p>
      <w:pPr>
        <w:pStyle w:val="Heading2"/>
      </w:pPr>
      <w:r>
        <w:t xml:space="preserve">5. Discussion</w:t>
      </w:r>
    </w:p>
    <w:bookmarkStart w:id="53" w:name="X7b7b7455b0f7d9fdb0ac28ca20dbbe2e1cce1d1"/>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3"/>
    <w:bookmarkStart w:id="54" w:name="X29c10bc63ed9896d416ece5f4226f380bd34cf0"/>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4"/>
    <w:bookmarkStart w:id="55" w:name="Xb471ce4af1c8388abd81e7c0b454c35c1bf71b5"/>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5"/>
    <w:bookmarkStart w:id="56" w:name="X59962a5bf251ba78cbeff78982c479ec97bb9fa"/>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w:t>
      </w:r>
      <w:r>
        <w:t xml:space="preserve"> </w:t>
      </w:r>
      <w:r>
        <w:t xml:space="preserve">“</w:t>
      </w:r>
      <w:r>
        <w:t xml:space="preserve">what is the optimal export intensity?</w:t>
      </w:r>
      <w:r>
        <w:t xml:space="preserve">”</w:t>
      </w:r>
      <w:r>
        <w:t xml:space="preserve"> </w:t>
      </w:r>
      <w:r>
        <w:t xml:space="preserve">but</w:t>
      </w:r>
      <w:r>
        <w:t xml:space="preserve"> </w:t>
      </w:r>
      <w:r>
        <w:t xml:space="preserve">“</w:t>
      </w:r>
      <w:r>
        <w:t xml:space="preserve">under what institutional conditions does an optimum re-emerge?</w:t>
      </w:r>
      <w:r>
        <w:t xml:space="preserve">”</w:t>
      </w:r>
      <w:r>
        <w:t xml:space="preserve"> </w:t>
      </w:r>
      <w:r>
        <w:t xml:space="preserve">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6"/>
    <w:bookmarkStart w:id="57" w:name="theoretical-contributions"/>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7"/>
    <w:bookmarkStart w:id="58" w:name="boundary-conditions-and-scope"/>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8"/>
    <w:bookmarkEnd w:id="59"/>
    <w:bookmarkStart w:id="60" w:name="limitations-and-future-research"/>
    <w:p>
      <w:pPr>
        <w:pStyle w:val="Heading2"/>
      </w:pPr>
      <w:r>
        <w:t xml:space="preserve">6. Limitations and Future Research</w:t>
      </w:r>
    </w:p>
    <w:p>
      <w:pPr>
        <w:pStyle w:val="FirstParagraph"/>
      </w:pPr>
      <w:r>
        <w:t xml:space="preserve">The substantive limitations are detailed in §5.6.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0"/>
    <w:bookmarkStart w:id="61"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1"/>
    <w:bookmarkStart w:id="62" w:name="conflict-of-interest"/>
    <w:p>
      <w:pPr>
        <w:pStyle w:val="Heading2"/>
      </w:pPr>
      <w:r>
        <w:t xml:space="preserve">Conflict of Interest</w:t>
      </w:r>
    </w:p>
    <w:p>
      <w:pPr>
        <w:pStyle w:val="FirstParagraph"/>
      </w:pPr>
      <w:r>
        <w:t xml:space="preserve">The authors declare no conflict of interest.</w:t>
      </w:r>
    </w:p>
    <w:bookmarkEnd w:id="62"/>
    <w:bookmarkStart w:id="6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3"/>
    <w:bookmarkStart w:id="64" w:name="data-availability-statement"/>
    <w:p>
      <w:pPr>
        <w:pStyle w:val="Heading2"/>
      </w:pPr>
      <w:r>
        <w:t xml:space="preserve">Data availability statement</w:t>
      </w:r>
    </w:p>
    <w:p>
      <w:pPr>
        <w:pStyle w:val="FirstParagraph"/>
      </w:pPr>
      <w:r>
        <w:t xml:space="preserve">WBES India 2014, 2022, and 2025 microdata are publicly available via https://www.enterprisesurveys.org 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4"/>
    <w:bookmarkStart w:id="6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5"/>
    <w:bookmarkStart w:id="66" w:name="references"/>
    <w:p>
      <w:pPr>
        <w:pStyle w:val="Heading2"/>
      </w:pPr>
      <w:r>
        <w:t xml:space="preserve">References</w:t>
      </w:r>
    </w:p>
    <w:p>
      <w:pPr>
        <w:pStyle w:val="FirstParagraph"/>
      </w:pPr>
      <w:r>
        <w:t xml:space="preserve">Ackerberg, D.A., Caves, K. and Frazer, G. (2015),</w:t>
      </w:r>
      <w:r>
        <w:t xml:space="preserve"> </w:t>
      </w:r>
      <w:r>
        <w:t xml:space="preserve">“</w:t>
      </w:r>
      <w:r>
        <w:t xml:space="preserve">Identification properties of recent production function estimators</w:t>
      </w:r>
      <w:r>
        <w:t xml:space="preserve">”</w:t>
      </w:r>
      <w:r>
        <w:t xml:space="preserve">,</w:t>
      </w:r>
      <w:r>
        <w:t xml:space="preserve"> </w:t>
      </w:r>
      <w:r>
        <w:rPr>
          <w:iCs/>
          <w:i/>
        </w:rPr>
        <w:t xml:space="preserve">Econometrica</w:t>
      </w:r>
      <w:r>
        <w:t xml:space="preserve">, Vol. 83 No. 6, pp. 2411–2451.</w:t>
      </w:r>
    </w:p>
    <w:p>
      <w:pPr>
        <w:pStyle w:val="BodyText"/>
      </w:pPr>
      <w:r>
        <w:t xml:space="preserve">Aschauer, D.A. (1989),</w:t>
      </w:r>
      <w:r>
        <w:t xml:space="preserve"> </w:t>
      </w:r>
      <w:r>
        <w:t xml:space="preserve">“</w:t>
      </w:r>
      <w:r>
        <w:t xml:space="preserve">Is public expenditure productive?</w:t>
      </w:r>
      <w:r>
        <w:t xml:space="preserve">”</w:t>
      </w:r>
      <w:r>
        <w:t xml:space="preserve">,</w:t>
      </w:r>
      <w:r>
        <w:t xml:space="preserve"> </w:t>
      </w:r>
      <w:r>
        <w:rPr>
          <w:iCs/>
          <w:i/>
        </w:rPr>
        <w:t xml:space="preserve">Journal of Monetary Economics</w:t>
      </w:r>
      <w:r>
        <w:t xml:space="preserve">, Vol. 23 No. 2, pp. 177–200.</w:t>
      </w:r>
    </w:p>
    <w:p>
      <w:pPr>
        <w:pStyle w:val="BodyText"/>
      </w:pPr>
      <w:r>
        <w:t xml:space="preserve">Asher, S. and Novosad, P. (2017),</w:t>
      </w:r>
      <w:r>
        <w:t xml:space="preserve"> </w:t>
      </w:r>
      <w:r>
        <w:t xml:space="preserve">“</w:t>
      </w:r>
      <w:r>
        <w:t xml:space="preserve">Politics and local economic growth: evidence from India</w:t>
      </w:r>
      <w:r>
        <w:t xml:space="preserve">”</w:t>
      </w:r>
      <w:r>
        <w:t xml:space="preserve">,</w:t>
      </w:r>
      <w:r>
        <w:t xml:space="preserve"> </w:t>
      </w:r>
      <w:r>
        <w:rPr>
          <w:iCs/>
          <w:i/>
        </w:rPr>
        <w:t xml:space="preserve">American Economic Journal: Applied Economics</w:t>
      </w:r>
      <w:r>
        <w:t xml:space="preserve">, Vol. 9 No. 1, pp. 229–273.</w:t>
      </w:r>
    </w:p>
    <w:p>
      <w:pPr>
        <w:pStyle w:val="BodyText"/>
      </w:pPr>
      <w:r>
        <w:t xml:space="preserve">Banalieva, E.R., Eddleston, K.A. and Zellweger, T.M. (2017),</w:t>
      </w:r>
      <w:r>
        <w:t xml:space="preserve"> </w:t>
      </w:r>
      <w:r>
        <w:t xml:space="preserve">“</w:t>
      </w:r>
      <w:r>
        <w:t xml:space="preserve">When do family firms have an advantage in transitioning economies? Toward a dynamic institution-based view</w:t>
      </w:r>
      <w:r>
        <w:t xml:space="preserve">”</w:t>
      </w:r>
      <w:r>
        <w:t xml:space="preserve">,</w:t>
      </w:r>
      <w:r>
        <w:t xml:space="preserve"> </w:t>
      </w:r>
      <w:r>
        <w:rPr>
          <w:iCs/>
          <w:i/>
        </w:rPr>
        <w:t xml:space="preserve">Strategic Management Journal</w:t>
      </w:r>
      <w:r>
        <w:t xml:space="preserve">, Vol. 38 No. 4, pp. 800–824.</w:t>
      </w:r>
    </w:p>
    <w:p>
      <w:pPr>
        <w:pStyle w:val="BodyText"/>
      </w:pPr>
      <w:r>
        <w:t xml:space="preserve">Bharadwaj, A., El Sawy, O.A., Pavlou, P.A. and Venkatraman, N. (2013),</w:t>
      </w:r>
      <w:r>
        <w:t xml:space="preserve"> </w:t>
      </w:r>
      <w:r>
        <w:t xml:space="preserve">“</w:t>
      </w:r>
      <w:r>
        <w:t xml:space="preserve">Digital business strategy: toward a next generation of insights</w:t>
      </w:r>
      <w:r>
        <w:t xml:space="preserve">”</w:t>
      </w:r>
      <w:r>
        <w:t xml:space="preserve">,</w:t>
      </w:r>
      <w:r>
        <w:t xml:space="preserve"> </w:t>
      </w:r>
      <w:r>
        <w:rPr>
          <w:iCs/>
          <w:i/>
        </w:rPr>
        <w:t xml:space="preserve">MIS Quarterly</w:t>
      </w:r>
      <w:r>
        <w:t xml:space="preserve">, Vol. 37 No. 2, pp. 471–482.</w:t>
      </w:r>
    </w:p>
    <w:p>
      <w:pPr>
        <w:pStyle w:val="BodyText"/>
      </w:pPr>
      <w:r>
        <w:t xml:space="preserve">Burgess, R. and Pande, R. (2005),</w:t>
      </w:r>
      <w:r>
        <w:t xml:space="preserve"> </w:t>
      </w:r>
      <w:r>
        <w:t xml:space="preserve">“</w:t>
      </w:r>
      <w:r>
        <w:t xml:space="preserve">Do rural banks matter? Evidence from the Indian social banking experiment</w:t>
      </w:r>
      <w:r>
        <w:t xml:space="preserve">”</w:t>
      </w:r>
      <w:r>
        <w:t xml:space="preserve">,</w:t>
      </w:r>
      <w:r>
        <w:t xml:space="preserve"> </w:t>
      </w:r>
      <w:r>
        <w:rPr>
          <w:iCs/>
          <w:i/>
        </w:rPr>
        <w:t xml:space="preserve">American Economic Review</w:t>
      </w:r>
      <w:r>
        <w:t xml:space="preserve">, Vol. 95 No. 3, pp. 780–795.</w:t>
      </w:r>
    </w:p>
    <w:p>
      <w:pPr>
        <w:pStyle w:val="BodyText"/>
      </w:pPr>
      <w:r>
        <w:t xml:space="preserve">Cameron, A.C., Gelbach, J.B. and Miller, D.L. (2008),</w:t>
      </w:r>
      <w:r>
        <w:t xml:space="preserve"> </w:t>
      </w:r>
      <w:r>
        <w:t xml:space="preserve">“</w:t>
      </w:r>
      <w:r>
        <w:t xml:space="preserve">Bootstrap-based improvements for inference with clustered errors</w:t>
      </w:r>
      <w:r>
        <w:t xml:space="preserve">”</w:t>
      </w:r>
      <w:r>
        <w:t xml:space="preserve">,</w:t>
      </w:r>
      <w:r>
        <w:t xml:space="preserve"> </w:t>
      </w:r>
      <w:r>
        <w:rPr>
          <w:iCs/>
          <w:i/>
        </w:rPr>
        <w:t xml:space="preserve">Review of Economics and Statistics</w:t>
      </w:r>
      <w:r>
        <w:t xml:space="preserve">, Vol. 90 No. 3, pp. 414–427.</w:t>
      </w:r>
    </w:p>
    <w:p>
      <w:pPr>
        <w:pStyle w:val="BodyText"/>
      </w:pPr>
      <w:r>
        <w:t xml:space="preserve">Chittoor, R., Sarkar, M.B., Ray, S. and Aulakh, P.S. (2009),</w:t>
      </w:r>
      <w:r>
        <w:t xml:space="preserve"> </w:t>
      </w:r>
      <w:r>
        <w:t xml:space="preserve">“</w:t>
      </w:r>
      <w:r>
        <w:t xml:space="preserve">Third-world copycats to emerging multinationals: institutional changes and organizational transformation in the Indian pharmaceutical industry</w:t>
      </w:r>
      <w:r>
        <w:t xml:space="preserve">”</w:t>
      </w:r>
      <w:r>
        <w:t xml:space="preserve">,</w:t>
      </w:r>
      <w:r>
        <w:t xml:space="preserve"> </w:t>
      </w:r>
      <w:r>
        <w:rPr>
          <w:iCs/>
          <w:i/>
        </w:rPr>
        <w:t xml:space="preserve">Organization Science</w:t>
      </w:r>
      <w:r>
        <w:t xml:space="preserve">, Vol. 20 No. 1, pp. 187–205.</w:t>
      </w:r>
    </w:p>
    <w:p>
      <w:pPr>
        <w:pStyle w:val="BodyText"/>
      </w:pPr>
      <w:r>
        <w:t xml:space="preserve">Chodorow-Reich, G., Gopinath, G., Mishra, P. and Narayanan, A. (2020),</w:t>
      </w:r>
      <w:r>
        <w:t xml:space="preserve"> </w:t>
      </w:r>
      <w:r>
        <w:t xml:space="preserve">“</w:t>
      </w:r>
      <w:r>
        <w:t xml:space="preserve">Cash and the economy: evidence from India’s demonetization</w:t>
      </w:r>
      <w:r>
        <w:t xml:space="preserve">”</w:t>
      </w:r>
      <w:r>
        <w:t xml:space="preserve">,</w:t>
      </w:r>
      <w:r>
        <w:t xml:space="preserve"> </w:t>
      </w:r>
      <w:r>
        <w:rPr>
          <w:iCs/>
          <w:i/>
        </w:rPr>
        <w:t xml:space="preserve">Quarterly Journal of Economics</w:t>
      </w:r>
      <w:r>
        <w:t xml:space="preserve">, Vol. 135 No. 1, pp. 57–103.</w:t>
      </w:r>
    </w:p>
    <w:p>
      <w:pPr>
        <w:pStyle w:val="BodyText"/>
      </w:pPr>
      <w:r>
        <w:t xml:space="preserve">Cohen, W.M. and Levinthal, D.A. (1990),</w:t>
      </w:r>
      <w:r>
        <w:t xml:space="preserve"> </w:t>
      </w:r>
      <w:r>
        <w:t xml:space="preserve">“</w:t>
      </w:r>
      <w:r>
        <w:t xml:space="preserve">Absorptive capacity: a new perspective on learning and innovation</w:t>
      </w:r>
      <w:r>
        <w:t xml:space="preserve">”</w:t>
      </w:r>
      <w:r>
        <w:t xml:space="preserve">,</w:t>
      </w:r>
      <w:r>
        <w:t xml:space="preserve"> </w:t>
      </w:r>
      <w:r>
        <w:rPr>
          <w:iCs/>
          <w:i/>
        </w:rPr>
        <w:t xml:space="preserve">Administrative Science Quarterly</w:t>
      </w:r>
      <w:r>
        <w:t xml:space="preserve">, Vol. 35 No. 1, pp. 128–152.</w:t>
      </w:r>
    </w:p>
    <w:p>
      <w:pPr>
        <w:pStyle w:val="BodyText"/>
      </w:pPr>
      <w:r>
        <w:t xml:space="preserve">Contractor, F.J. (2007),</w:t>
      </w:r>
      <w:r>
        <w:t xml:space="preserve"> </w:t>
      </w:r>
      <w:r>
        <w:t xml:space="preserve">“</w:t>
      </w:r>
      <w:r>
        <w:t xml:space="preserve">Is international business good for companies? The evolutionary or multi-stage theory of internationalization vs. the transaction cost perspective</w:t>
      </w:r>
      <w:r>
        <w:t xml:space="preserve">”</w:t>
      </w:r>
      <w:r>
        <w:t xml:space="preserve">,</w:t>
      </w:r>
      <w:r>
        <w:t xml:space="preserve"> </w:t>
      </w:r>
      <w:r>
        <w:rPr>
          <w:iCs/>
          <w:i/>
        </w:rPr>
        <w:t xml:space="preserve">Management International Review</w:t>
      </w:r>
      <w:r>
        <w:t xml:space="preserve">, Vol. 47 No. 3, pp. 453–475.</w:t>
      </w:r>
    </w:p>
    <w:p>
      <w:pPr>
        <w:pStyle w:val="BodyText"/>
      </w:pPr>
      <w:r>
        <w:t xml:space="preserve">Contractor, F.J., Kumar, V. and Kundu, S.K. (2007),</w:t>
      </w:r>
      <w:r>
        <w:t xml:space="preserve"> </w:t>
      </w:r>
      <w:r>
        <w:t xml:space="preserve">“</w:t>
      </w:r>
      <w:r>
        <w:t xml:space="preserve">Nature of the relationship between international expansion and performance: the case of emerging market firms</w:t>
      </w:r>
      <w:r>
        <w:t xml:space="preserve">”</w:t>
      </w:r>
      <w:r>
        <w:t xml:space="preserve">,</w:t>
      </w:r>
      <w:r>
        <w:t xml:space="preserve"> </w:t>
      </w:r>
      <w:r>
        <w:rPr>
          <w:iCs/>
          <w:i/>
        </w:rPr>
        <w:t xml:space="preserve">Journal of World Business</w:t>
      </w:r>
      <w:r>
        <w:t xml:space="preserve">, Vol. 42 No. 4, pp. 401–417.</w:t>
      </w:r>
    </w:p>
    <w:p>
      <w:pPr>
        <w:pStyle w:val="BodyText"/>
      </w:pPr>
      <w:r>
        <w:t xml:space="preserve">Cuervo-Cazurra, A. (2012),</w:t>
      </w:r>
      <w:r>
        <w:t xml:space="preserve"> </w:t>
      </w:r>
      <w:r>
        <w:t xml:space="preserve">“</w:t>
      </w:r>
      <w:r>
        <w:t xml:space="preserve">Extending theory by analyzing developing country multinational companies: solving the goldilocks debate</w:t>
      </w:r>
      <w:r>
        <w:t xml:space="preserve">”</w:t>
      </w:r>
      <w:r>
        <w:t xml:space="preserve">,</w:t>
      </w:r>
      <w:r>
        <w:t xml:space="preserve"> </w:t>
      </w:r>
      <w:r>
        <w:rPr>
          <w:iCs/>
          <w:i/>
        </w:rPr>
        <w:t xml:space="preserve">Global Strategy Journal</w:t>
      </w:r>
      <w:r>
        <w:t xml:space="preserve">, Vol. 2 No. 3, pp. 153–167.</w:t>
      </w:r>
    </w:p>
    <w:p>
      <w:pPr>
        <w:pStyle w:val="BodyText"/>
      </w:pPr>
      <w:r>
        <w:t xml:space="preserve">De Loecker, J. (2013),</w:t>
      </w:r>
      <w:r>
        <w:t xml:space="preserve"> </w:t>
      </w:r>
      <w:r>
        <w:t xml:space="preserve">“</w:t>
      </w:r>
      <w:r>
        <w:t xml:space="preserve">Detecting learning by exporting</w:t>
      </w:r>
      <w:r>
        <w:t xml:space="preserve">”</w:t>
      </w:r>
      <w:r>
        <w:t xml:space="preserve">,</w:t>
      </w:r>
      <w:r>
        <w:t xml:space="preserve"> </w:t>
      </w:r>
      <w:r>
        <w:rPr>
          <w:iCs/>
          <w:i/>
        </w:rPr>
        <w:t xml:space="preserve">American Economic Journal: Microeconomics</w:t>
      </w:r>
      <w:r>
        <w:t xml:space="preserve">, Vol. 5 No. 3, pp. 1–21.</w:t>
      </w:r>
    </w:p>
    <w:p>
      <w:pPr>
        <w:pStyle w:val="BodyText"/>
      </w:pPr>
      <w:r>
        <w:t xml:space="preserve">Do, T.H. and Phan, A.T. (2025),</w:t>
      </w:r>
      <w:r>
        <w:t xml:space="preserve"> </w:t>
      </w:r>
      <w:r>
        <w:t xml:space="preserve">“</w:t>
      </w:r>
      <w:r>
        <w:t xml:space="preserve">Internationalization and firm performance of firms in India: the role of top management</w:t>
      </w:r>
      <w:r>
        <w:t xml:space="preserve">”</w:t>
      </w:r>
      <w:r>
        <w:t xml:space="preserve">, in</w:t>
      </w:r>
      <w:r>
        <w:t xml:space="preserve"> </w:t>
      </w:r>
      <w:r>
        <w:rPr>
          <w:iCs/>
          <w:i/>
        </w:rPr>
        <w:t xml:space="preserve">International Business Research, Traditional and Creative Approaches</w:t>
      </w:r>
      <w:r>
        <w:t xml:space="preserve">, IntechOpen, London, available at: https://doi.org/10.5772/intechopen.1011012</w:t>
      </w:r>
    </w:p>
    <w:p>
      <w:pPr>
        <w:pStyle w:val="BodyText"/>
      </w:pPr>
      <w:r>
        <w:t xml:space="preserve">Donaldson, D. (2018),</w:t>
      </w:r>
      <w:r>
        <w:t xml:space="preserve"> </w:t>
      </w:r>
      <w:r>
        <w:t xml:space="preserve">“</w:t>
      </w:r>
      <w:r>
        <w:t xml:space="preserve">Railroads of the Raj: estimating the impact of transportation infrastructure</w:t>
      </w:r>
      <w:r>
        <w:t xml:space="preserve">”</w:t>
      </w:r>
      <w:r>
        <w:t xml:space="preserve">,</w:t>
      </w:r>
      <w:r>
        <w:t xml:space="preserve"> </w:t>
      </w:r>
      <w:r>
        <w:rPr>
          <w:iCs/>
          <w:i/>
        </w:rPr>
        <w:t xml:space="preserve">American Economic Review</w:t>
      </w:r>
      <w:r>
        <w:t xml:space="preserve">, Vol. 108 No. 4–5, pp. 899–934.</w:t>
      </w:r>
    </w:p>
    <w:p>
      <w:pPr>
        <w:pStyle w:val="BodyText"/>
      </w:pPr>
      <w:r>
        <w:t xml:space="preserve">Elango, B. and Pattnaik, C. (2007),</w:t>
      </w:r>
      <w:r>
        <w:t xml:space="preserve"> </w:t>
      </w:r>
      <w:r>
        <w:t xml:space="preserve">“</w:t>
      </w:r>
      <w:r>
        <w:t xml:space="preserve">Building capabilities for international operations through networks: a study of Indian firms</w:t>
      </w:r>
      <w:r>
        <w:t xml:space="preserve">”</w:t>
      </w:r>
      <w:r>
        <w:t xml:space="preserve">,</w:t>
      </w:r>
      <w:r>
        <w:t xml:space="preserve"> </w:t>
      </w:r>
      <w:r>
        <w:rPr>
          <w:iCs/>
          <w:i/>
        </w:rPr>
        <w:t xml:space="preserve">Journal of International Business Studies</w:t>
      </w:r>
      <w:r>
        <w:t xml:space="preserve">, Vol. 38 No. 4, pp. 541–555.</w:t>
      </w:r>
    </w:p>
    <w:p>
      <w:pPr>
        <w:pStyle w:val="BodyText"/>
      </w:pPr>
      <w:r>
        <w:t xml:space="preserve">Geleilate, J.G., Magnusson, P., Parente, R.C. and Alvarado-Vargas, M.J. (2016),</w:t>
      </w:r>
      <w:r>
        <w:t xml:space="preserve"> </w:t>
      </w:r>
      <w:r>
        <w:t xml:space="preserve">“</w:t>
      </w:r>
      <w:r>
        <w:t xml:space="preserve">Home country institutional effects on the multinationality–performance relationship: a comparison between emerging and developed market multinationals</w:t>
      </w:r>
      <w:r>
        <w:t xml:space="preserve">”</w:t>
      </w:r>
      <w:r>
        <w:t xml:space="preserve">,</w:t>
      </w:r>
      <w:r>
        <w:t xml:space="preserve"> </w:t>
      </w:r>
      <w:r>
        <w:rPr>
          <w:iCs/>
          <w:i/>
        </w:rPr>
        <w:t xml:space="preserve">Journal of International Management</w:t>
      </w:r>
      <w:r>
        <w:t xml:space="preserve">, Vol. 22 No. 4, pp. 380–402.</w:t>
      </w:r>
    </w:p>
    <w:p>
      <w:pPr>
        <w:pStyle w:val="BodyText"/>
      </w:pPr>
      <w:r>
        <w:t xml:space="preserve">Goldfarb, A. and Tucker, C. (2019),</w:t>
      </w:r>
      <w:r>
        <w:t xml:space="preserve"> </w:t>
      </w:r>
      <w:r>
        <w:t xml:space="preserve">“</w:t>
      </w:r>
      <w:r>
        <w:t xml:space="preserve">Digital economics</w:t>
      </w:r>
      <w:r>
        <w:t xml:space="preserve">”</w:t>
      </w:r>
      <w:r>
        <w:t xml:space="preserve">,</w:t>
      </w:r>
      <w:r>
        <w:t xml:space="preserve"> </w:t>
      </w:r>
      <w:r>
        <w:rPr>
          <w:iCs/>
          <w:i/>
        </w:rPr>
        <w:t xml:space="preserve">Journal of Economic Literature</w:t>
      </w:r>
      <w:r>
        <w:t xml:space="preserve">, Vol. 57 No. 1, pp. 3–43.</w:t>
      </w:r>
    </w:p>
    <w:p>
      <w:pPr>
        <w:pStyle w:val="BodyText"/>
      </w:pPr>
      <w:r>
        <w:t xml:space="preserve">Haans, R.F.J., Pieters, C. and He, Z.L. (2016),</w:t>
      </w:r>
      <w:r>
        <w:t xml:space="preserve"> </w:t>
      </w:r>
      <w:r>
        <w:t xml:space="preserve">“</w:t>
      </w:r>
      <w:r>
        <w:t xml:space="preserve">Thinking about U: theorizing and testing U- and inverted U-shaped relationships in strategy research</w:t>
      </w:r>
      <w:r>
        <w:t xml:space="preserve">”</w:t>
      </w:r>
      <w:r>
        <w:t xml:space="preserve">,</w:t>
      </w:r>
      <w:r>
        <w:t xml:space="preserve"> </w:t>
      </w:r>
      <w:r>
        <w:rPr>
          <w:iCs/>
          <w:i/>
        </w:rPr>
        <w:t xml:space="preserve">Strategic Management Journal</w:t>
      </w:r>
      <w:r>
        <w:t xml:space="preserve">, Vol. 37 No. 7, pp. 1177–1195.</w:t>
      </w:r>
    </w:p>
    <w:p>
      <w:pPr>
        <w:pStyle w:val="BodyText"/>
      </w:pPr>
      <w:r>
        <w:t xml:space="preserve">Hambrick, D.C. and Mason, P.A. (1984),</w:t>
      </w:r>
      <w:r>
        <w:t xml:space="preserve"> </w:t>
      </w:r>
      <w:r>
        <w:t xml:space="preserve">“</w:t>
      </w:r>
      <w:r>
        <w:t xml:space="preserve">Upper echelons: the organization as a reflection of its top managers</w:t>
      </w:r>
      <w:r>
        <w:t xml:space="preserve">”</w:t>
      </w:r>
      <w:r>
        <w:t xml:space="preserve">,</w:t>
      </w:r>
      <w:r>
        <w:t xml:space="preserve"> </w:t>
      </w:r>
      <w:r>
        <w:rPr>
          <w:iCs/>
          <w:i/>
        </w:rPr>
        <w:t xml:space="preserve">Academy of Management Review</w:t>
      </w:r>
      <w:r>
        <w:t xml:space="preserve">, Vol. 9 No. 2, pp. 193–206.</w:t>
      </w:r>
    </w:p>
    <w:p>
      <w:pPr>
        <w:pStyle w:val="BodyText"/>
      </w:pPr>
      <w:r>
        <w:t xml:space="preserve">Hennart, J.F. (2007),</w:t>
      </w:r>
      <w:r>
        <w:t xml:space="preserve"> </w:t>
      </w:r>
      <w:r>
        <w:t xml:space="preserve">“</w:t>
      </w:r>
      <w:r>
        <w:t xml:space="preserve">The theoretical rationale for a multinationality-performance relationship</w:t>
      </w:r>
      <w:r>
        <w:t xml:space="preserve">”</w:t>
      </w:r>
      <w:r>
        <w:t xml:space="preserve">,</w:t>
      </w:r>
      <w:r>
        <w:t xml:space="preserve"> </w:t>
      </w:r>
      <w:r>
        <w:rPr>
          <w:iCs/>
          <w:i/>
        </w:rPr>
        <w:t xml:space="preserve">Management International Review</w:t>
      </w:r>
      <w:r>
        <w:t xml:space="preserve">, Vol. 47 No. 3, pp. 423–452.</w:t>
      </w:r>
    </w:p>
    <w:p>
      <w:pPr>
        <w:pStyle w:val="BodyText"/>
      </w:pPr>
      <w:r>
        <w:t xml:space="preserve">Hoskisson, R.E., Eden, L., Lau, C.M. and Wright, M. (2000),</w:t>
      </w:r>
      <w:r>
        <w:t xml:space="preserve"> </w:t>
      </w:r>
      <w:r>
        <w:t xml:space="preserve">“</w:t>
      </w:r>
      <w:r>
        <w:t xml:space="preserve">Strategy in emerging economies</w:t>
      </w:r>
      <w:r>
        <w:t xml:space="preserve">”</w:t>
      </w:r>
      <w:r>
        <w:t xml:space="preserve">,</w:t>
      </w:r>
      <w:r>
        <w:t xml:space="preserve"> </w:t>
      </w:r>
      <w:r>
        <w:rPr>
          <w:iCs/>
          <w:i/>
        </w:rPr>
        <w:t xml:space="preserve">Academy of Management Journal</w:t>
      </w:r>
      <w:r>
        <w:t xml:space="preserve">, Vol. 43 No. 3, pp. 249–267.</w:t>
      </w:r>
    </w:p>
    <w:p>
      <w:pPr>
        <w:pStyle w:val="BodyText"/>
      </w:pPr>
      <w:r>
        <w:t xml:space="preserve">Johanson, J. and Vahlne, J.E. (1977),</w:t>
      </w:r>
      <w:r>
        <w:t xml:space="preserve"> </w:t>
      </w:r>
      <w:r>
        <w:t xml:space="preserve">“</w:t>
      </w:r>
      <w:r>
        <w:t xml:space="preserve">The internationalization process of the firm, a model of knowledge development and increasing foreign market commitments</w:t>
      </w:r>
      <w:r>
        <w:t xml:space="preserve">”</w:t>
      </w:r>
      <w:r>
        <w:t xml:space="preserve">,</w:t>
      </w:r>
      <w:r>
        <w:t xml:space="preserve"> </w:t>
      </w:r>
      <w:r>
        <w:rPr>
          <w:iCs/>
          <w:i/>
        </w:rPr>
        <w:t xml:space="preserve">Journal of International Business Studies</w:t>
      </w:r>
      <w:r>
        <w:t xml:space="preserve">, Vol. 8 No. 1, pp. 23–32.</w:t>
      </w:r>
    </w:p>
    <w:p>
      <w:pPr>
        <w:pStyle w:val="BodyText"/>
      </w:pPr>
      <w:r>
        <w:t xml:space="preserve">Khanna, T. and Palepu, K.G. (2010),</w:t>
      </w:r>
      <w:r>
        <w:t xml:space="preserve"> </w:t>
      </w:r>
      <w:r>
        <w:rPr>
          <w:iCs/>
          <w:i/>
        </w:rPr>
        <w:t xml:space="preserve">Winning in Emerging Markets: A Road Map for Strategy and Execution</w:t>
      </w:r>
      <w:r>
        <w:t xml:space="preserve">, Harvard Business Review Press, Boston, MA.</w:t>
      </w:r>
    </w:p>
    <w:p>
      <w:pPr>
        <w:pStyle w:val="BodyText"/>
      </w:pPr>
      <w:r>
        <w:t xml:space="preserve">Lind, J.T. and Mehlum, H. (2010),</w:t>
      </w:r>
      <w:r>
        <w:t xml:space="preserve"> </w:t>
      </w:r>
      <w:r>
        <w:t xml:space="preserve">“</w:t>
      </w:r>
      <w:r>
        <w:t xml:space="preserve">With or without U? The appropriate test for a U-shaped relationship</w:t>
      </w:r>
      <w:r>
        <w:t xml:space="preserve">”</w:t>
      </w:r>
      <w:r>
        <w:t xml:space="preserve">,</w:t>
      </w:r>
      <w:r>
        <w:t xml:space="preserve"> </w:t>
      </w:r>
      <w:r>
        <w:rPr>
          <w:iCs/>
          <w:i/>
        </w:rPr>
        <w:t xml:space="preserve">Oxford Bulletin of Economics and Statistics</w:t>
      </w:r>
      <w:r>
        <w:t xml:space="preserve">, Vol. 72 No. 1, pp. 109–118.</w:t>
      </w:r>
    </w:p>
    <w:p>
      <w:pPr>
        <w:pStyle w:val="BodyText"/>
      </w:pPr>
      <w:r>
        <w:t xml:space="preserve">Lu, J.W. and Beamish, P.W. (2004),</w:t>
      </w:r>
      <w:r>
        <w:t xml:space="preserve"> </w:t>
      </w:r>
      <w:r>
        <w:t xml:space="preserve">“</w:t>
      </w:r>
      <w:r>
        <w:t xml:space="preserve">International diversification and firm performance: the S-curve hypothesis</w:t>
      </w:r>
      <w:r>
        <w:t xml:space="preserve">”</w:t>
      </w:r>
      <w:r>
        <w:t xml:space="preserve">,</w:t>
      </w:r>
      <w:r>
        <w:t xml:space="preserve"> </w:t>
      </w:r>
      <w:r>
        <w:rPr>
          <w:iCs/>
          <w:i/>
        </w:rPr>
        <w:t xml:space="preserve">Academy of Management Journal</w:t>
      </w:r>
      <w:r>
        <w:t xml:space="preserve">, Vol. 47 No. 4, pp. 598–609.</w:t>
      </w:r>
    </w:p>
    <w:p>
      <w:pPr>
        <w:pStyle w:val="BodyText"/>
      </w:pPr>
      <w:r>
        <w:t xml:space="preserve">MacKinnon, J.G. and Webb, M.D. (2017),</w:t>
      </w:r>
      <w:r>
        <w:t xml:space="preserve"> </w:t>
      </w:r>
      <w:r>
        <w:t xml:space="preserve">“</w:t>
      </w:r>
      <w:r>
        <w:t xml:space="preserve">Wild bootstrap inference for wildly different cluster sizes</w:t>
      </w:r>
      <w:r>
        <w:t xml:space="preserve">”</w:t>
      </w:r>
      <w:r>
        <w:t xml:space="preserve">,</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w:t>
      </w:r>
      <w:r>
        <w:t xml:space="preserve"> </w:t>
      </w:r>
      <w:r>
        <w:t xml:space="preserve">“</w:t>
      </w:r>
      <w:r>
        <w:t xml:space="preserve">Home country institutions and the internationalization-performance relationship: a meta-analytic review</w:t>
      </w:r>
      <w:r>
        <w:t xml:space="preserve">”</w:t>
      </w:r>
      <w:r>
        <w:t xml:space="preserve">,</w:t>
      </w:r>
      <w:r>
        <w:t xml:space="preserve"> </w:t>
      </w:r>
      <w:r>
        <w:rPr>
          <w:iCs/>
          <w:i/>
        </w:rPr>
        <w:t xml:space="preserve">Journal of Management</w:t>
      </w:r>
      <w:r>
        <w:t xml:space="preserve">, Vol. 42 No. 5, pp. 1075–1110.</w:t>
      </w:r>
    </w:p>
    <w:p>
      <w:pPr>
        <w:pStyle w:val="BodyText"/>
      </w:pPr>
      <w:r>
        <w:t xml:space="preserve">Melitz, M.J. (2003),</w:t>
      </w:r>
      <w:r>
        <w:t xml:space="preserve"> </w:t>
      </w:r>
      <w:r>
        <w:t xml:space="preserve">“</w:t>
      </w:r>
      <w:r>
        <w:t xml:space="preserve">The impact of trade on intra-industry reallocations and aggregate industry productivity</w:t>
      </w:r>
      <w:r>
        <w:t xml:space="preserve">”</w:t>
      </w:r>
      <w:r>
        <w:t xml:space="preserve">,</w:t>
      </w:r>
      <w:r>
        <w:t xml:space="preserve"> </w:t>
      </w:r>
      <w:r>
        <w:rPr>
          <w:iCs/>
          <w:i/>
        </w:rPr>
        <w:t xml:space="preserve">Econometrica</w:t>
      </w:r>
      <w:r>
        <w:t xml:space="preserve">, Vol. 71 No. 6, pp. 1695–1725.</w:t>
      </w:r>
    </w:p>
    <w:p>
      <w:pPr>
        <w:pStyle w:val="BodyText"/>
      </w:pPr>
      <w:r>
        <w:t xml:space="preserve">Mizik, N. and Jacobson, R. (2003),</w:t>
      </w:r>
      <w:r>
        <w:t xml:space="preserve"> </w:t>
      </w:r>
      <w:r>
        <w:t xml:space="preserve">“</w:t>
      </w:r>
      <w:r>
        <w:t xml:space="preserve">Trading off between value creation and value appropriation: the financial implications of shifts in strategic emphasis</w:t>
      </w:r>
      <w:r>
        <w:t xml:space="preserve">”</w:t>
      </w:r>
      <w:r>
        <w:t xml:space="preserve">,</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Olley, G.S. and Pakes, A. (1996),</w:t>
      </w:r>
      <w:r>
        <w:t xml:space="preserve"> </w:t>
      </w:r>
      <w:r>
        <w:t xml:space="preserve">“</w:t>
      </w:r>
      <w:r>
        <w:t xml:space="preserve">The dynamics of productivity in the telecommunications equipment industry</w:t>
      </w:r>
      <w:r>
        <w:t xml:space="preserve">”</w:t>
      </w:r>
      <w:r>
        <w:t xml:space="preserve">,</w:t>
      </w:r>
      <w:r>
        <w:t xml:space="preserve"> </w:t>
      </w:r>
      <w:r>
        <w:rPr>
          <w:iCs/>
          <w:i/>
        </w:rPr>
        <w:t xml:space="preserve">Econometrica</w:t>
      </w:r>
      <w:r>
        <w:t xml:space="preserve">, Vol. 64 No. 6, pp. 1263–1297.</w:t>
      </w:r>
    </w:p>
    <w:p>
      <w:pPr>
        <w:pStyle w:val="BodyText"/>
      </w:pPr>
      <w:r>
        <w:t xml:space="preserve">Paternoster, R., Brame, R., Mazerolle, P. and Piquero, A. (1998),</w:t>
      </w:r>
      <w:r>
        <w:t xml:space="preserve"> </w:t>
      </w:r>
      <w:r>
        <w:t xml:space="preserve">“</w:t>
      </w:r>
      <w:r>
        <w:t xml:space="preserve">Using the correct statistical test for the equality of regression coefficients</w:t>
      </w:r>
      <w:r>
        <w:t xml:space="preserve">”</w:t>
      </w:r>
      <w:r>
        <w:t xml:space="preserve">,</w:t>
      </w:r>
      <w:r>
        <w:t xml:space="preserve"> </w:t>
      </w:r>
      <w:r>
        <w:rPr>
          <w:iCs/>
          <w:i/>
        </w:rPr>
        <w:t xml:space="preserve">Criminology</w:t>
      </w:r>
      <w:r>
        <w:t xml:space="preserve">, Vol. 36 No. 4, pp. 859–866.</w:t>
      </w:r>
    </w:p>
    <w:p>
      <w:pPr>
        <w:pStyle w:val="BodyText"/>
      </w:pPr>
      <w:r>
        <w:t xml:space="preserve">Peng, M.W., Wang, D.Y.L. and Jiang, Y. (2008),</w:t>
      </w:r>
      <w:r>
        <w:t xml:space="preserve"> </w:t>
      </w:r>
      <w:r>
        <w:t xml:space="preserve">“</w:t>
      </w:r>
      <w:r>
        <w:t xml:space="preserve">An institution-based view of international business strategy: a focus on emerging economies</w:t>
      </w:r>
      <w:r>
        <w:t xml:space="preserve">”</w:t>
      </w:r>
      <w:r>
        <w:t xml:space="preserve">,</w:t>
      </w:r>
      <w:r>
        <w:t xml:space="preserve"> </w:t>
      </w:r>
      <w:r>
        <w:rPr>
          <w:iCs/>
          <w:i/>
        </w:rPr>
        <w:t xml:space="preserve">Journal of International Business Studies</w:t>
      </w:r>
      <w:r>
        <w:t xml:space="preserve">, Vol. 39 No. 5, pp. 920–936.</w:t>
      </w:r>
    </w:p>
    <w:p>
      <w:pPr>
        <w:pStyle w:val="BodyText"/>
      </w:pPr>
      <w:r>
        <w:t xml:space="preserve">Peng, M.W., Sun, S.L., Pinkham, B. and Chen, H. (2009),</w:t>
      </w:r>
      <w:r>
        <w:t xml:space="preserve"> </w:t>
      </w:r>
      <w:r>
        <w:t xml:space="preserve">“</w:t>
      </w:r>
      <w:r>
        <w:t xml:space="preserve">The institution-based view as a third leg for a strategy tripod</w:t>
      </w:r>
      <w:r>
        <w:t xml:space="preserve">”</w:t>
      </w:r>
      <w:r>
        <w:t xml:space="preserve">,</w:t>
      </w:r>
      <w:r>
        <w:t xml:space="preserve"> </w:t>
      </w:r>
      <w:r>
        <w:rPr>
          <w:iCs/>
          <w:i/>
        </w:rPr>
        <w:t xml:space="preserve">Academy of Management Perspectives</w:t>
      </w:r>
      <w:r>
        <w:t xml:space="preserve">, Vol. 23 No. 3, pp. 63–81.</w:t>
      </w:r>
    </w:p>
    <w:p>
      <w:pPr>
        <w:pStyle w:val="BodyText"/>
      </w:pPr>
      <w:r>
        <w:t xml:space="preserve">Sambharya, R.B. (1996),</w:t>
      </w:r>
      <w:r>
        <w:t xml:space="preserve"> </w:t>
      </w:r>
      <w:r>
        <w:t xml:space="preserve">“</w:t>
      </w:r>
      <w:r>
        <w:t xml:space="preserve">Foreign experience of top management teams and international diversification strategies of US multinational corporations</w:t>
      </w:r>
      <w:r>
        <w:t xml:space="preserve">”</w:t>
      </w:r>
      <w:r>
        <w:t xml:space="preserve">,</w:t>
      </w:r>
      <w:r>
        <w:t xml:space="preserve"> </w:t>
      </w:r>
      <w:r>
        <w:rPr>
          <w:iCs/>
          <w:i/>
        </w:rPr>
        <w:t xml:space="preserve">Strategic Management Journal</w:t>
      </w:r>
      <w:r>
        <w:t xml:space="preserve">, Vol. 17 No. 9, pp. 739–746.</w:t>
      </w:r>
    </w:p>
    <w:p>
      <w:pPr>
        <w:pStyle w:val="BodyText"/>
      </w:pPr>
      <w:r>
        <w:t xml:space="preserve">Singh, D.A. (2009),</w:t>
      </w:r>
      <w:r>
        <w:t xml:space="preserve"> </w:t>
      </w:r>
      <w:r>
        <w:t xml:space="preserve">“</w:t>
      </w:r>
      <w:r>
        <w:t xml:space="preserve">Export performance of emerging market firms</w:t>
      </w:r>
      <w:r>
        <w:t xml:space="preserve">”</w:t>
      </w:r>
      <w:r>
        <w:t xml:space="preserve">,</w:t>
      </w:r>
      <w:r>
        <w:t xml:space="preserve"> </w:t>
      </w:r>
      <w:r>
        <w:rPr>
          <w:iCs/>
          <w:i/>
        </w:rPr>
        <w:t xml:space="preserve">International Business Review</w:t>
      </w:r>
      <w:r>
        <w:t xml:space="preserve">, Vol. 18 No. 4, pp. 321–330.</w:t>
      </w:r>
    </w:p>
    <w:p>
      <w:pPr>
        <w:pStyle w:val="BodyText"/>
      </w:pPr>
      <w:r>
        <w:t xml:space="preserve">Teece, D.J. (2007),</w:t>
      </w:r>
      <w:r>
        <w:t xml:space="preserve"> </w:t>
      </w:r>
      <w:r>
        <w:t xml:space="preserve">“</w:t>
      </w:r>
      <w:r>
        <w:t xml:space="preserve">Explicating dynamic capabilities: the nature and microfoundations of (sustainable) enterprise performance</w:t>
      </w:r>
      <w:r>
        <w:t xml:space="preserve">”</w:t>
      </w:r>
      <w:r>
        <w:t xml:space="preserve">,</w:t>
      </w:r>
      <w:r>
        <w:t xml:space="preserve"> </w:t>
      </w:r>
      <w:r>
        <w:rPr>
          <w:iCs/>
          <w:i/>
        </w:rPr>
        <w:t xml:space="preserve">Strategic Management Journal</w:t>
      </w:r>
      <w:r>
        <w:t xml:space="preserve">, Vol. 28 No. 13, pp. 1319–1350.</w:t>
      </w:r>
    </w:p>
    <w:p>
      <w:pPr>
        <w:pStyle w:val="BodyText"/>
      </w:pPr>
      <w:r>
        <w:t xml:space="preserve">Verbeke, A. and Forootan, M.Z. (2012),</w:t>
      </w:r>
      <w:r>
        <w:t xml:space="preserve"> </w:t>
      </w:r>
      <w:r>
        <w:t xml:space="preserve">“</w:t>
      </w:r>
      <w:r>
        <w:t xml:space="preserve">How good are multinationality–performance (M-P) empirical studies?</w:t>
      </w:r>
      <w:r>
        <w:t xml:space="preserve">”</w:t>
      </w:r>
      <w:r>
        <w:t xml:space="preserve">,</w:t>
      </w:r>
      <w:r>
        <w:t xml:space="preserve"> </w:t>
      </w:r>
      <w:r>
        <w:rPr>
          <w:iCs/>
          <w:i/>
        </w:rPr>
        <w:t xml:space="preserve">Global Strategy Journal</w:t>
      </w:r>
      <w:r>
        <w:t xml:space="preserve">, Vol. 2 No. 4, pp. 332–344.</w:t>
      </w:r>
    </w:p>
    <w:p>
      <w:pPr>
        <w:pStyle w:val="BodyText"/>
      </w:pPr>
      <w:r>
        <w:t xml:space="preserve">Vial, G. (2019),</w:t>
      </w:r>
      <w:r>
        <w:t xml:space="preserve"> </w:t>
      </w:r>
      <w:r>
        <w:t xml:space="preserve">“</w:t>
      </w:r>
      <w:r>
        <w:t xml:space="preserve">Understanding digital transformation: a review and a research agenda</w:t>
      </w:r>
      <w:r>
        <w:t xml:space="preserve">”</w:t>
      </w:r>
      <w:r>
        <w:t xml:space="preserve">,</w:t>
      </w:r>
      <w:r>
        <w:t xml:space="preserve"> </w:t>
      </w:r>
      <w:r>
        <w:rPr>
          <w:iCs/>
          <w:i/>
        </w:rPr>
        <w:t xml:space="preserve">Journal of Strategic Information Systems</w:t>
      </w:r>
      <w:r>
        <w:t xml:space="preserve">, Vol. 28 No. 2, pp. 118–144.</w:t>
      </w:r>
    </w:p>
    <w:p>
      <w:pPr>
        <w:pStyle w:val="BodyText"/>
      </w:pPr>
      <w:r>
        <w:t xml:space="preserve">Williamson, O.E. (2000),</w:t>
      </w:r>
      <w:r>
        <w:t xml:space="preserve"> </w:t>
      </w:r>
      <w:r>
        <w:t xml:space="preserve">“</w:t>
      </w:r>
      <w:r>
        <w:t xml:space="preserve">The new institutional economics: taking stock, looking ahead</w:t>
      </w:r>
      <w:r>
        <w:t xml:space="preserve">”</w:t>
      </w:r>
      <w:r>
        <w:t xml:space="preserve">,</w:t>
      </w:r>
      <w:r>
        <w:t xml:space="preserve"> </w:t>
      </w:r>
      <w:r>
        <w:rPr>
          <w:iCs/>
          <w:i/>
        </w:rPr>
        <w:t xml:space="preserve">Journal of Economic Literature</w:t>
      </w:r>
      <w:r>
        <w:t xml:space="preserve">, Vol. 38 No. 3, pp. 595–613.</w:t>
      </w:r>
    </w:p>
    <w:p>
      <w:r>
        <w:pict>
          <v:rect style="width:0;height:1.5pt" o:hralign="center" o:hrstd="t" o:hr="t"/>
        </w:pict>
      </w:r>
    </w:p>
    <w:p>
      <w:pPr>
        <w:pStyle w:val="FirstParagraph"/>
      </w:pPr>
      <w:r>
        <w:rPr>
          <w:iCs/>
          <w:i/>
        </w:rPr>
        <w:t xml:space="preserve">Manuscript draft version 2026-06-02. Empirical sections complete; Section 4.6 robustness expansion (manufacturing sub-sample, trimmed FSTS, wild cluster bootstrap) and Figure rendering pending.</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2026-06-09T08:07:05Z</dcterms:created>
  <dcterms:modified xsi:type="dcterms:W3CDTF">2026-06-09T08:07:05Z</dcterms:modified>
</cp:coreProperties>
</file>

<file path=docProps/custom.xml><?xml version="1.0" encoding="utf-8"?>
<Properties xmlns="http://schemas.openxmlformats.org/officeDocument/2006/custom-properties" xmlns:vt="http://schemas.openxmlformats.org/officeDocument/2006/docPropsVTypes"/>
</file>